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000"/>
      </w:pPr>
    </w:p>
    <w:p>
      <w:pPr>
        <w:spacing w:after="80" w:before="0"/>
        <w:jc w:val="left"/>
      </w:pPr>
      <w:r>
        <w:rPr>
          <w:rFonts w:ascii="Arial" w:cs="Arial" w:eastAsia="Arial" w:hAnsi="Arial"/>
          <w:b/>
          <w:bCs/>
          <w:color w:val="022241"/>
          <w:sz w:val="80"/>
          <w:szCs w:val="80"/>
        </w:rPr>
        <w:t xml:space="preserve">Perspio™</w:t>
      </w:r>
    </w:p>
    <w:p>
      <w:pPr>
        <w:spacing w:after="480" w:before="0"/>
        <w:jc w:val="left"/>
      </w:pPr>
      <w:r>
        <w:rPr>
          <w:rFonts w:ascii="Arial" w:cs="Arial" w:eastAsia="Arial" w:hAnsi="Arial"/>
          <w:color w:val="0098FF"/>
          <w:sz w:val="52"/>
          <w:szCs w:val="52"/>
        </w:rPr>
        <w:t xml:space="preserve">End-to-End Cold Chain Use Case Library</w:t>
      </w:r>
    </w:p>
    <w:p>
      <w:pPr>
        <w:spacing w:after="80" w:before="0"/>
        <w:jc w:val="left"/>
      </w:pPr>
      <w:r>
        <w:rPr>
          <w:rFonts w:ascii="Arial" w:cs="Arial" w:eastAsia="Arial" w:hAnsi="Arial"/>
          <w:color w:val="939598"/>
          <w:sz w:val="22"/>
          <w:szCs w:val="22"/>
        </w:rPr>
        <w:t xml:space="preserve">Powered by Inauro  ·  Industrial AI for Cold Chain  ·  v1.0</w:t>
      </w:r>
    </w:p>
    <w:p>
      <w:r>
        <w:br w:type="page"/>
      </w:r>
    </w:p>
    <w:p>
      <w:pPr>
        <w:pStyle w:val="Heading1"/>
      </w:pPr>
      <w:r>
        <w:rPr>
          <w:rFonts w:ascii="Arial" w:cs="Arial" w:eastAsia="Arial" w:hAnsi="Arial"/>
        </w:rPr>
        <w:t xml:space="preserve">About This Document</w:t>
      </w:r>
    </w:p>
    <w:p>
      <w:pPr>
        <w:spacing w:after="120" w:before="0"/>
      </w:pPr>
      <w:r>
        <w:rPr>
          <w:rFonts w:ascii="Arial" w:cs="Arial" w:eastAsia="Arial" w:hAnsi="Arial"/>
          <w:color w:val="30302E"/>
          <w:sz w:val="20"/>
          <w:szCs w:val="20"/>
        </w:rPr>
        <w:t xml:space="preserve">This library documents the complete set of Perspio™ use cases for the end-to-end cold chain industry. Uniquely among Perspio’s industry verticals, cold chain spans both fixed infrastructure (cold rooms, blast freezers, loading docks, refrigeration plant) and mobile assets (reefer trucks, last-mile vehicles). Perspio monitors both — and connects them into a single, continuous chain of record from the point of production to the point of delivery.</w:t>
      </w:r>
    </w:p>
    <w:p>
      <w:pPr>
        <w:spacing w:after="0" w:before="160"/>
      </w:pPr>
    </w:p>
    <w:p>
      <w:pPr>
        <w:pStyle w:val="Heading2"/>
      </w:pPr>
      <w:r>
        <w:rPr>
          <w:rFonts w:ascii="Arial" w:cs="Arial" w:eastAsia="Arial" w:hAnsi="Arial"/>
        </w:rPr>
        <w:t xml:space="preserve">Role Reference</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000"/>
        <w:gridCol w:w="6460"/>
      </w:tblGrid>
      <w:tr>
        <w:tc>
          <w:tcPr>
            <w:tcW w:type="dxa" w:w="9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Code</w:t>
            </w:r>
          </w:p>
        </w:tc>
        <w:tc>
          <w:tcPr>
            <w:tcW w:type="dxa" w:w="20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Role</w:t>
            </w:r>
          </w:p>
        </w:tc>
        <w:tc>
          <w:tcPr>
            <w:tcW w:type="dxa" w:w="646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Primary focus</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3C3489"/>
                <w:sz w:val="20"/>
                <w:szCs w:val="20"/>
              </w:rPr>
              <w:t xml:space="preserve">OPS</w:t>
            </w:r>
          </w:p>
        </w:tc>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Cold Chain Operations Director</w:t>
            </w:r>
          </w:p>
        </w:tc>
        <w:tc>
          <w:tcPr>
            <w:tcW w:type="dxa" w:w="64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End-to-end chain integrity, customer contracts, compliance obligations, and cross-function performance.</w:t>
            </w:r>
          </w:p>
        </w:tc>
      </w:tr>
      <w:tr>
        <w:tc>
          <w:tcPr>
            <w:tcW w:type="dxa" w:w="9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b/>
                <w:bCs/>
                <w:color w:val="0C447C"/>
                <w:sz w:val="20"/>
                <w:szCs w:val="20"/>
              </w:rPr>
              <w:t xml:space="preserve">FCI</w:t>
            </w:r>
          </w:p>
        </w:tc>
        <w:tc>
          <w:tcPr>
            <w:tcW w:type="dxa" w:w="20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Fixed Cold Infrastructure Manager</w:t>
            </w:r>
          </w:p>
        </w:tc>
        <w:tc>
          <w:tcPr>
            <w:tcW w:type="dxa" w:w="646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Fixed cold infrastructure: cold rooms, blast freezers, loading docks, energy management.</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27500A"/>
                <w:sz w:val="20"/>
                <w:szCs w:val="20"/>
              </w:rPr>
              <w:t xml:space="preserve">TRP</w:t>
            </w:r>
          </w:p>
        </w:tc>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Transport Manager</w:t>
            </w:r>
          </w:p>
        </w:tc>
        <w:tc>
          <w:tcPr>
            <w:tcW w:type="dxa" w:w="64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Reefer fleet, last-mile cold delivery, vehicle and reefer integration.</w:t>
            </w:r>
          </w:p>
        </w:tc>
      </w:tr>
      <w:tr>
        <w:tc>
          <w:tcPr>
            <w:tcW w:type="dxa" w:w="9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b/>
                <w:bCs/>
                <w:color w:val="791F1F"/>
                <w:sz w:val="20"/>
                <w:szCs w:val="20"/>
              </w:rPr>
              <w:t xml:space="preserve">QAS</w:t>
            </w:r>
          </w:p>
        </w:tc>
        <w:tc>
          <w:tcPr>
            <w:tcW w:type="dxa" w:w="20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Quality Assurance / Food Safety Manager</w:t>
            </w:r>
          </w:p>
        </w:tc>
        <w:tc>
          <w:tcPr>
            <w:tcW w:type="dxa" w:w="646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HACCP, food safety regulations, pharmaceutical compliance, audit trail, and recall management.</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5F5E5A"/>
                <w:sz w:val="20"/>
                <w:szCs w:val="20"/>
              </w:rPr>
              <w:t xml:space="preserve">ENG</w:t>
            </w:r>
          </w:p>
        </w:tc>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Engineering / Facilities Manager</w:t>
            </w:r>
          </w:p>
        </w:tc>
        <w:tc>
          <w:tcPr>
            <w:tcW w:type="dxa" w:w="64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Refrigeration plant PM, compressor health, energy efficiency, and failure prevention.</w:t>
            </w:r>
          </w:p>
        </w:tc>
      </w:tr>
      <w:tr>
        <w:tc>
          <w:tcPr>
            <w:tcW w:type="dxa" w:w="9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b/>
                <w:bCs/>
                <w:color w:val="72243E"/>
                <w:sz w:val="20"/>
                <w:szCs w:val="20"/>
              </w:rPr>
              <w:t xml:space="preserve">CUS</w:t>
            </w:r>
          </w:p>
        </w:tc>
        <w:tc>
          <w:tcPr>
            <w:tcW w:type="dxa" w:w="20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Customer / Key Account Manager</w:t>
            </w:r>
          </w:p>
        </w:tc>
        <w:tc>
          <w:tcPr>
            <w:tcW w:type="dxa" w:w="646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Customer SLA performance, compliance reporting, temperature certificates, and key account management.</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633806"/>
                <w:sz w:val="20"/>
                <w:szCs w:val="20"/>
              </w:rPr>
              <w:t xml:space="preserve">FIN</w:t>
            </w:r>
          </w:p>
        </w:tc>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Finance / Commercial Manager</w:t>
            </w:r>
          </w:p>
        </w:tc>
        <w:tc>
          <w:tcPr>
            <w:tcW w:type="dxa" w:w="64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Energy cost allocation, product loss costing, customer billing, and financial reporting.</w:t>
            </w:r>
          </w:p>
        </w:tc>
      </w:tr>
    </w:tbl>
    <w:p>
      <w:pPr>
        <w:spacing w:after="0" w:before="240"/>
      </w:pPr>
    </w:p>
    <w:p>
      <w:pPr>
        <w:pStyle w:val="Heading2"/>
      </w:pPr>
      <w:r>
        <w:rPr>
          <w:rFonts w:ascii="Arial" w:cs="Arial" w:eastAsia="Arial" w:hAnsi="Arial"/>
        </w:rPr>
        <w:t xml:space="preserve">Integration Level Framework</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6160"/>
      </w:tblGrid>
      <w:tr>
        <w:tc>
          <w:tcPr>
            <w:tcW w:type="dxa" w:w="14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Level</w:t>
            </w:r>
          </w:p>
        </w:tc>
        <w:tc>
          <w:tcPr>
            <w:tcW w:type="dxa" w:w="18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Maturity stage</w:t>
            </w:r>
          </w:p>
        </w:tc>
        <w:tc>
          <w:tcPr>
            <w:tcW w:type="dxa" w:w="616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What Perspio does</w:t>
            </w:r>
          </w:p>
        </w:tc>
      </w:tr>
      <w:tr>
        <w:tc>
          <w:tcPr>
            <w:tcW w:type="dxa" w:w="1400"/>
            <w:tcBorders>
              <w:top w:val="single" w:color="DDDDDD" w:sz="1"/>
              <w:left w:val="single" w:color="DDDDDD" w:sz="1"/>
              <w:bottom w:val="single" w:color="DDDDDD" w:sz="1"/>
              <w:right w:val="single" w:color="DDDDDD" w:sz="1"/>
            </w:tcBorders>
            <w:shd w:fill="E6F1FB" w:val="clear"/>
            <w:tcMar>
              <w:top w:type="dxa" w:w="100"/>
              <w:left w:type="dxa" w:w="120"/>
              <w:bottom w:type="dxa" w:w="100"/>
              <w:right w:type="dxa" w:w="80"/>
            </w:tcMar>
          </w:tcPr>
          <w:p>
            <w:pPr>
              <w:spacing w:after="0" w:before="0"/>
            </w:pPr>
            <w:r>
              <w:rPr>
                <w:rFonts w:ascii="Arial" w:cs="Arial" w:eastAsia="Arial" w:hAnsi="Arial"/>
                <w:b/>
                <w:bCs/>
                <w:color w:val="0C447C"/>
                <w:sz w:val="24"/>
                <w:szCs w:val="24"/>
              </w:rPr>
              <w:t xml:space="preserve">L1</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Visibility</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Reads and surfaces data from connected systems. No write-back. Insight only.</w:t>
            </w:r>
          </w:p>
        </w:tc>
      </w:tr>
      <w:tr>
        <w:tc>
          <w:tcPr>
            <w:tcW w:type="dxa" w:w="1400"/>
            <w:tcBorders>
              <w:top w:val="single" w:color="DDDDDD" w:sz="1"/>
              <w:left w:val="single" w:color="DDDDDD" w:sz="1"/>
              <w:bottom w:val="single" w:color="DDDDDD" w:sz="1"/>
              <w:right w:val="single" w:color="DDDDDD" w:sz="1"/>
            </w:tcBorders>
            <w:shd w:fill="EAF3DE" w:val="clear"/>
            <w:tcMar>
              <w:top w:type="dxa" w:w="100"/>
              <w:left w:type="dxa" w:w="120"/>
              <w:bottom w:type="dxa" w:w="100"/>
              <w:right w:type="dxa" w:w="80"/>
            </w:tcMar>
          </w:tcPr>
          <w:p>
            <w:pPr>
              <w:spacing w:after="0" w:before="0"/>
            </w:pPr>
            <w:r>
              <w:rPr>
                <w:rFonts w:ascii="Arial" w:cs="Arial" w:eastAsia="Arial" w:hAnsi="Arial"/>
                <w:b/>
                <w:bCs/>
                <w:color w:val="27500A"/>
                <w:sz w:val="24"/>
                <w:szCs w:val="24"/>
              </w:rPr>
              <w:t xml:space="preserve">L2</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Suggestion</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Analyses data and surfaces recommendations or alerts. The user decides whether to act.</w:t>
            </w:r>
          </w:p>
        </w:tc>
      </w:tr>
      <w:tr>
        <w:tc>
          <w:tcPr>
            <w:tcW w:type="dxa" w:w="1400"/>
            <w:tcBorders>
              <w:top w:val="single" w:color="DDDDDD" w:sz="1"/>
              <w:left w:val="single" w:color="DDDDDD" w:sz="1"/>
              <w:bottom w:val="single" w:color="DDDDDD" w:sz="1"/>
              <w:right w:val="single" w:color="DDDDDD" w:sz="1"/>
            </w:tcBorders>
            <w:shd w:fill="FAEEDA" w:val="clear"/>
            <w:tcMar>
              <w:top w:type="dxa" w:w="100"/>
              <w:left w:type="dxa" w:w="120"/>
              <w:bottom w:type="dxa" w:w="100"/>
              <w:right w:type="dxa" w:w="80"/>
            </w:tcMar>
          </w:tcPr>
          <w:p>
            <w:pPr>
              <w:spacing w:after="0" w:before="0"/>
            </w:pPr>
            <w:r>
              <w:rPr>
                <w:rFonts w:ascii="Arial" w:cs="Arial" w:eastAsia="Arial" w:hAnsi="Arial"/>
                <w:b/>
                <w:bCs/>
                <w:color w:val="633806"/>
                <w:sz w:val="24"/>
                <w:szCs w:val="24"/>
              </w:rPr>
              <w:t xml:space="preserve">L3</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Control</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Perspio writes data back to connected systems or triggers actions in external platforms automatically.</w:t>
            </w:r>
          </w:p>
        </w:tc>
      </w:tr>
      <w:tr>
        <w:tc>
          <w:tcPr>
            <w:tcW w:type="dxa" w:w="1400"/>
            <w:tcBorders>
              <w:top w:val="single" w:color="DDDDDD" w:sz="1"/>
              <w:left w:val="single" w:color="DDDDDD" w:sz="1"/>
              <w:bottom w:val="single" w:color="DDDDDD" w:sz="1"/>
              <w:right w:val="single" w:color="DDDDDD" w:sz="1"/>
            </w:tcBorders>
            <w:shd w:fill="FCEBEB" w:val="clear"/>
            <w:tcMar>
              <w:top w:type="dxa" w:w="100"/>
              <w:left w:type="dxa" w:w="120"/>
              <w:bottom w:type="dxa" w:w="100"/>
              <w:right w:type="dxa" w:w="80"/>
            </w:tcMar>
          </w:tcPr>
          <w:p>
            <w:pPr>
              <w:spacing w:after="0" w:before="0"/>
            </w:pPr>
            <w:r>
              <w:rPr>
                <w:rFonts w:ascii="Arial" w:cs="Arial" w:eastAsia="Arial" w:hAnsi="Arial"/>
                <w:b/>
                <w:bCs/>
                <w:color w:val="791F1F"/>
                <w:sz w:val="24"/>
                <w:szCs w:val="24"/>
              </w:rPr>
              <w:t xml:space="preserve">L4</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Automation</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Perspio synthesises signals across multiple systems and executes end-to-end workflows without human input.</w:t>
            </w:r>
          </w:p>
        </w:tc>
      </w:tr>
      <w:tr>
        <w:tc>
          <w:tcPr>
            <w:tcW w:type="dxa" w:w="1400"/>
            <w:tcBorders>
              <w:top w:val="single" w:color="DDDDDD" w:sz="1"/>
              <w:left w:val="single" w:color="DDDDDD" w:sz="1"/>
              <w:bottom w:val="single" w:color="DDDDDD" w:sz="1"/>
              <w:right w:val="single" w:color="DDDDDD" w:sz="1"/>
            </w:tcBorders>
            <w:shd w:fill="F0E6FF" w:val="clear"/>
            <w:tcMar>
              <w:top w:type="dxa" w:w="100"/>
              <w:left w:type="dxa" w:w="120"/>
              <w:bottom w:type="dxa" w:w="100"/>
              <w:right w:type="dxa" w:w="80"/>
            </w:tcMar>
          </w:tcPr>
          <w:p>
            <w:pPr>
              <w:spacing w:after="0" w:before="0"/>
            </w:pPr>
            <w:r>
              <w:rPr>
                <w:rFonts w:ascii="Arial" w:cs="Arial" w:eastAsia="Arial" w:hAnsi="Arial"/>
                <w:b/>
                <w:bCs/>
                <w:color w:val="5A1880"/>
                <w:sz w:val="24"/>
                <w:szCs w:val="24"/>
              </w:rPr>
              <w:t xml:space="preserve">L5</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AI Orchestration</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AI-driven autonomous orchestration — synthesises signals from many systems, makes adaptive decisions, and coordinates across platforms with no predefined rules.</w:t>
            </w:r>
          </w:p>
        </w:tc>
      </w:tr>
      <w:tr>
        <w:tc>
          <w:tcPr>
            <w:tcW w:type="dxa" w:w="1400"/>
            <w:tcBorders>
              <w:top w:val="single" w:color="DDDDDD" w:sz="1"/>
              <w:left w:val="single" w:color="DDDDDD" w:sz="1"/>
              <w:bottom w:val="single" w:color="DDDDDD" w:sz="1"/>
              <w:right w:val="single" w:color="DDDDDD" w:sz="1"/>
            </w:tcBorders>
            <w:shd w:val="clear"/>
            <w:tcMar>
              <w:top w:type="dxa" w:w="100"/>
              <w:left w:type="dxa" w:w="120"/>
              <w:bottom w:type="dxa" w:w="100"/>
              <w:right w:type="dxa" w:w="80"/>
            </w:tcMar>
          </w:tcPr>
          <w:p>
            <w:pPr>
              <w:spacing w:after="0" w:before="0"/>
            </w:pPr>
            <w:r>
              <w:rPr>
                <w:rFonts w:ascii="Arial" w:cs="Arial" w:eastAsia="Arial" w:hAnsi="Arial"/>
                <w:b/>
                <w:bCs/>
                <w:sz w:val="24"/>
                <w:szCs w:val="24"/>
              </w:rPr>
              <w:t xml:space="preserve">L1</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r>
          </w:p>
        </w:tc>
      </w:tr>
      <w:tr>
        <w:tc>
          <w:tcPr>
            <w:tcW w:type="dxa" w:w="1400"/>
            <w:tcBorders>
              <w:top w:val="single" w:color="DDDDDD" w:sz="1"/>
              <w:left w:val="single" w:color="DDDDDD" w:sz="1"/>
              <w:bottom w:val="single" w:color="DDDDDD" w:sz="1"/>
              <w:right w:val="single" w:color="DDDDDD" w:sz="1"/>
            </w:tcBorders>
            <w:shd w:val="clear"/>
            <w:tcMar>
              <w:top w:type="dxa" w:w="100"/>
              <w:left w:type="dxa" w:w="120"/>
              <w:bottom w:type="dxa" w:w="100"/>
              <w:right w:type="dxa" w:w="80"/>
            </w:tcMar>
          </w:tcPr>
          <w:p>
            <w:pPr>
              <w:spacing w:after="0" w:before="0"/>
            </w:pPr>
            <w:r>
              <w:rPr>
                <w:rFonts w:ascii="Arial" w:cs="Arial" w:eastAsia="Arial" w:hAnsi="Arial"/>
                <w:b/>
                <w:bCs/>
                <w:sz w:val="24"/>
                <w:szCs w:val="24"/>
              </w:rPr>
              <w:t xml:space="preserve">L3</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r>
          </w:p>
        </w:tc>
      </w:tr>
      <w:tr>
        <w:tc>
          <w:tcPr>
            <w:tcW w:type="dxa" w:w="1400"/>
            <w:tcBorders>
              <w:top w:val="single" w:color="DDDDDD" w:sz="1"/>
              <w:left w:val="single" w:color="DDDDDD" w:sz="1"/>
              <w:bottom w:val="single" w:color="DDDDDD" w:sz="1"/>
              <w:right w:val="single" w:color="DDDDDD" w:sz="1"/>
            </w:tcBorders>
            <w:shd w:val="clear"/>
            <w:tcMar>
              <w:top w:type="dxa" w:w="100"/>
              <w:left w:type="dxa" w:w="120"/>
              <w:bottom w:type="dxa" w:w="100"/>
              <w:right w:type="dxa" w:w="80"/>
            </w:tcMar>
          </w:tcPr>
          <w:p>
            <w:pPr>
              <w:spacing w:after="0" w:before="0"/>
            </w:pPr>
            <w:r>
              <w:rPr>
                <w:rFonts w:ascii="Arial" w:cs="Arial" w:eastAsia="Arial" w:hAnsi="Arial"/>
                <w:b/>
                <w:bCs/>
                <w:sz w:val="24"/>
                <w:szCs w:val="24"/>
              </w:rPr>
              <w:t xml:space="preserve">L3</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r>
          </w:p>
        </w:tc>
      </w:tr>
      <w:tr>
        <w:tc>
          <w:tcPr>
            <w:tcW w:type="dxa" w:w="1400"/>
            <w:tcBorders>
              <w:top w:val="single" w:color="DDDDDD" w:sz="1"/>
              <w:left w:val="single" w:color="DDDDDD" w:sz="1"/>
              <w:bottom w:val="single" w:color="DDDDDD" w:sz="1"/>
              <w:right w:val="single" w:color="DDDDDD" w:sz="1"/>
            </w:tcBorders>
            <w:shd w:val="clear"/>
            <w:tcMar>
              <w:top w:type="dxa" w:w="100"/>
              <w:left w:type="dxa" w:w="120"/>
              <w:bottom w:type="dxa" w:w="100"/>
              <w:right w:type="dxa" w:w="80"/>
            </w:tcMar>
          </w:tcPr>
          <w:p>
            <w:pPr>
              <w:spacing w:after="0" w:before="0"/>
            </w:pPr>
            <w:r>
              <w:rPr>
                <w:rFonts w:ascii="Arial" w:cs="Arial" w:eastAsia="Arial" w:hAnsi="Arial"/>
                <w:b/>
                <w:bCs/>
                <w:sz w:val="24"/>
                <w:szCs w:val="24"/>
              </w:rPr>
              <w:t xml:space="preserve">L3</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r>
          </w:p>
        </w:tc>
      </w:tr>
      <w:tr>
        <w:tc>
          <w:tcPr>
            <w:tcW w:type="dxa" w:w="1400"/>
            <w:tcBorders>
              <w:top w:val="single" w:color="DDDDDD" w:sz="1"/>
              <w:left w:val="single" w:color="DDDDDD" w:sz="1"/>
              <w:bottom w:val="single" w:color="DDDDDD" w:sz="1"/>
              <w:right w:val="single" w:color="DDDDDD" w:sz="1"/>
            </w:tcBorders>
            <w:shd w:val="clear"/>
            <w:tcMar>
              <w:top w:type="dxa" w:w="100"/>
              <w:left w:type="dxa" w:w="120"/>
              <w:bottom w:type="dxa" w:w="100"/>
              <w:right w:type="dxa" w:w="80"/>
            </w:tcMar>
          </w:tcPr>
          <w:p>
            <w:pPr>
              <w:spacing w:after="0" w:before="0"/>
            </w:pPr>
            <w:r>
              <w:rPr>
                <w:rFonts w:ascii="Arial" w:cs="Arial" w:eastAsia="Arial" w:hAnsi="Arial"/>
                <w:b/>
                <w:bCs/>
                <w:sz w:val="24"/>
                <w:szCs w:val="24"/>
              </w:rPr>
              <w:t xml:space="preserve">L3</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r>
          </w:p>
        </w:tc>
      </w:tr>
    </w:tbl>
    <w:p>
      <w:r>
        <w:br w:type="page"/>
      </w:r>
    </w:p>
    <w:p>
      <w:pPr>
        <w:pStyle w:val="Heading1"/>
      </w:pPr>
      <w:r>
        <w:rPr>
          <w:rFonts w:ascii="Arial" w:cs="Arial" w:eastAsia="Arial" w:hAnsi="Arial"/>
        </w:rPr>
        <w:t xml:space="preserve">Fixed Infrastructure Monitoring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FCI-01  </w:t>
            </w:r>
            <w:r>
              <w:rPr>
                <w:rFonts w:ascii="Arial" w:cs="Arial" w:eastAsia="Arial" w:hAnsi="Arial"/>
                <w:b/>
                <w:bCs/>
                <w:color w:val="FFFFFF"/>
                <w:sz w:val="24"/>
                <w:szCs w:val="24"/>
              </w:rPr>
              <w:t xml:space="preserve">Cold room and freezer continuous temperature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Fixed Infrastructure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FCI – Fixed Cold Infrastructure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store temperatures are monitored by site alarm systems that alert only on threshold breach and only locally. The full temperature history is unavailable at audit, and multi-site operators have no consolidated view.</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connects cold room and blast freezer sensors into a continuous, multi-site temperature record — real-time visibility and a defensible audit trail across the entire fixed estate.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fixed cold storage infrastructure. Critical for multi-site operators where consolidated visibility does not currently exist.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FCI-02, FCI-05, QAS-01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FCI-02  </w:t>
            </w:r>
            <w:r>
              <w:rPr>
                <w:rFonts w:ascii="Arial" w:cs="Arial" w:eastAsia="Arial" w:hAnsi="Arial"/>
                <w:b/>
                <w:bCs/>
                <w:color w:val="FFFFFF"/>
                <w:sz w:val="24"/>
                <w:szCs w:val="24"/>
              </w:rPr>
              <w:t xml:space="preserve">Door open and ajar event detection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Fixed Infrastructure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FCI – Fixed Cold Infrastructure Manager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store door events are the most common cause of temperature exceedance and energy waste. Most are logged locally and never surfaced to operations or quality teams.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door sensor events across all cold infrastructure and alerts the responsible team when doors are left ajar beyond threshold — before the temperature impact registers on product.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fixed cold storage. Highest value for multi-door facilities with high throughput.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FCI-01, FCI-04</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FCI-03  </w:t>
            </w:r>
            <w:r>
              <w:rPr>
                <w:rFonts w:ascii="Arial" w:cs="Arial" w:eastAsia="Arial" w:hAnsi="Arial"/>
                <w:b/>
                <w:bCs/>
                <w:color w:val="FFFFFF"/>
                <w:sz w:val="24"/>
                <w:szCs w:val="24"/>
              </w:rPr>
              <w:t xml:space="preserve">Blast freezer cycle performance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Fixed Infrastructure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FCI – Fixed Cold Infrastructure Manager</w:t>
            </w:r>
            <w:r>
              <w:rPr>
                <w:rFonts w:ascii="Arial" w:cs="Arial" w:eastAsia="Arial" w:hAnsi="Arial"/>
                <w:color w:val="939598"/>
                <w:sz w:val="20"/>
                <w:szCs w:val="20"/>
              </w:rPr>
              <w:t xml:space="preserve">   ·   </w:t>
            </w:r>
            <w:r>
              <w:rPr>
                <w:rFonts w:ascii="Arial" w:cs="Arial" w:eastAsia="Arial" w:hAnsi="Arial"/>
                <w:b/>
                <w:bCs/>
                <w:color w:val="5F5E5A"/>
                <w:sz w:val="20"/>
                <w:szCs w:val="20"/>
              </w:rPr>
              <w:t xml:space="preserve">ENG – Engineering / Facilities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Blast freezer pull-down rates and cycle completion are measured manually or not at all. Underperforming cycles go undetected until product quality is compromised.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blast freezer pull-down rates and cycle completion against setpoint targets — alerting engineering when performance degrades before a product loss event.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chain operators with blast freezing capability. Critical for food processing, ready meals, and seafood.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FCI-01, ENG-02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FCI-04  </w:t>
            </w:r>
            <w:r>
              <w:rPr>
                <w:rFonts w:ascii="Arial" w:cs="Arial" w:eastAsia="Arial" w:hAnsi="Arial"/>
                <w:b/>
                <w:bCs/>
                <w:color w:val="FFFFFF"/>
                <w:sz w:val="24"/>
                <w:szCs w:val="24"/>
              </w:rPr>
              <w:t xml:space="preserve">Loading dock temperature management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Fixed Infrastructure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FCI – Fixed Cold Infrastructure Manager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Loading docks are the most thermally vulnerable point in cold chain infrastructure. Door seal failures and dock leveller gaps create temperature exceedances that go unmonitored.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dock temperature and door seal integrity during loading and unloading — flagging exceedances at the point of product transfer, not retrospectively.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loading dock infrastructure.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FCI-01, FCI-02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FCI-05  </w:t>
            </w:r>
            <w:r>
              <w:rPr>
                <w:rFonts w:ascii="Arial" w:cs="Arial" w:eastAsia="Arial" w:hAnsi="Arial"/>
                <w:b/>
                <w:bCs/>
                <w:color w:val="FFFFFF"/>
                <w:sz w:val="24"/>
                <w:szCs w:val="24"/>
              </w:rPr>
              <w:t xml:space="preserve">Cold store alarm normalisation across multiple sites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Fixed Infrastructure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FCI – Fixed Cold Infrastructure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Each cold store runs its own alarm system with its own format, threshold, and notification logic. Multi-site operators manage five dashboards simultaneously and miss critical alerts in the noise.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normalises alarms from all cold store systems into a single prioritised alert stream — routed to the right person in the right tool regardless of source system.</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Multi-site cold chain operators with heterogeneous alarm and monitoring infrastructure.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FCI-01, OPS-03</w:t>
            </w:r>
          </w:p>
        </w:tc>
      </w:tr>
    </w:tbl>
    <w:p>
      <w:pPr>
        <w:spacing w:after="0" w:before="240"/>
      </w:pPr>
    </w:p>
    <w:p>
      <w:pPr>
        <w:pStyle w:val="Heading1"/>
      </w:pPr>
      <w:r>
        <w:rPr>
          <w:rFonts w:ascii="Arial" w:cs="Arial" w:eastAsia="Arial" w:hAnsi="Arial"/>
        </w:rPr>
        <w:t xml:space="preserve">Transport &amp; Mobile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TRP-01  </w:t>
            </w:r>
            <w:r>
              <w:rPr>
                <w:rFonts w:ascii="Arial" w:cs="Arial" w:eastAsia="Arial" w:hAnsi="Arial"/>
                <w:b/>
                <w:bCs/>
                <w:color w:val="FFFFFF"/>
                <w:sz w:val="24"/>
                <w:szCs w:val="24"/>
              </w:rPr>
              <w:t xml:space="preserve">Fixed cold store and reefer vehicle unified view</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Transport &amp; Mobile Integration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TRP – Transport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store telemetry and reefer vehicle telemetry run on separate systems. The product temperature journey from loading bay to delivery must be reconstructed manually.</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connects fixed cold infrastructure to reefer vehicle telemetry and TMS job records — creating a continuous temperature record from loading to delivery in one view.</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running both fixed storage and reefer transport.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TRP-02, TRP-03, OPS-01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TRP-02  </w:t>
            </w:r>
            <w:r>
              <w:rPr>
                <w:rFonts w:ascii="Arial" w:cs="Arial" w:eastAsia="Arial" w:hAnsi="Arial"/>
                <w:b/>
                <w:bCs/>
                <w:color w:val="FFFFFF"/>
                <w:sz w:val="24"/>
                <w:szCs w:val="24"/>
              </w:rPr>
              <w:t xml:space="preserve">Pre-departure reefer readiness orchestration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Transport &amp; Mobile Integration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TRP – Transport Manager</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FCI – Fixed Cold Infrastructure Manager</w:t>
            </w:r>
            <w:r>
              <w:rPr>
                <w:rFonts w:ascii="Arial" w:cs="Arial" w:eastAsia="Arial" w:hAnsi="Arial"/>
                <w:i/>
                <w:iCs/>
                <w:color w:val="939598"/>
                <w:sz w:val="18"/>
                <w:szCs w:val="18"/>
              </w:rPr>
              <w:t xml:space="preserve"> (secondary)</w:t>
            </w:r>
            <w:r>
              <w:rPr>
                <w:rFonts w:ascii="Arial" w:cs="Arial" w:eastAsia="Arial" w:hAnsi="Arial"/>
                <w:color w:val="939598"/>
                <w:sz w:val="20"/>
                <w:szCs w:val="20"/>
              </w:rPr>
              <w:t xml:space="preserve">   ·   </w:t>
            </w:r>
            <w:r>
              <w:rPr>
                <w:rFonts w:ascii="Arial" w:cs="Arial" w:eastAsia="Arial" w:hAnsi="Arial"/>
                <w:b/>
                <w:bCs/>
                <w:color w:val="5F5E5A"/>
                <w:sz w:val="20"/>
                <w:szCs w:val="20"/>
              </w:rPr>
              <w:t xml:space="preserve">ENG – Engineering / Facilities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Reefer vehicles are assigned to loads before unit health, setpoint compliance, and probe integrity are verified. Temperature failures begin before the vehicle leaves the depot.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Each morning, Perspio checks reefer unit health, setpoint, probe integrity, and vehicle telematics against the planned load requirement. If all checks pass, the vehicle is published to dispatch. If any check fails, a work order is raised to the refrigeration technician on shift.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A1880"/>
                <w:sz w:val="20"/>
                <w:szCs w:val="20"/>
              </w:rPr>
              <w:t xml:space="preserve">L5 – AI Orchestration</w:t>
            </w:r>
            <w:r>
              <w:rPr>
                <w:rFonts w:ascii="Arial" w:cs="Arial" w:eastAsia="Arial" w:hAnsi="Arial"/>
                <w:sz w:val="20"/>
                <w:szCs w:val="20"/>
              </w:rPr>
              <w:t xml:space="preserve">          </w:t>
            </w:r>
            <w:r>
              <w:rPr>
                <w:rFonts w:ascii="Arial" w:cs="Arial" w:eastAsia="Arial" w:hAnsi="Arial"/>
                <w:b/>
                <w:bCs/>
                <w:color w:val="633806"/>
                <w:sz w:val="20"/>
                <w:szCs w:val="20"/>
              </w:rPr>
              <w:t xml:space="preserve">Coming Soon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chain logistics operators requiring automated vehicle readiness verification before route assignment.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TRP-01, TRP-03, ENG-02</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Notes</w:t>
            </w:r>
          </w:p>
        </w:tc>
        <w:tc>
          <w:tcPr>
            <w:tcW w:type="dxa" w:w="7800"/>
            <w:tcBorders>
              <w:top w:val="single" w:color="DDDDDD" w:sz="1"/>
              <w:left w:val="single" w:color="DDDDDD" w:sz="1"/>
              <w:bottom w:val="single" w:color="DDDDDD" w:sz="1"/>
              <w:right w:val="single" w:color="DDDDDD" w:sz="1"/>
            </w:tcBorders>
            <w:shd w:fill="FFFDF0" w:val="clear"/>
            <w:tcMar>
              <w:top w:type="dxa" w:w="80"/>
              <w:left w:type="dxa" w:w="120"/>
              <w:bottom w:type="dxa" w:w="80"/>
              <w:right w:type="dxa" w:w="120"/>
            </w:tcMar>
          </w:tcPr>
          <w:p>
            <w:pPr>
              <w:spacing w:after="0" w:before="0"/>
            </w:pPr>
            <w:r>
              <w:rPr>
                <w:rFonts w:ascii="Arial" w:cs="Arial" w:eastAsia="Arial" w:hAnsi="Arial"/>
                <w:i/>
                <w:iCs/>
                <w:color w:val="5A5A3A"/>
                <w:sz w:val="18"/>
                <w:szCs w:val="18"/>
              </w:rPr>
              <w:t xml:space="preserve">L5: multi-system synthesis (reefer telemetry, vehicle telematics, probe health, setpoint compliance), autonomous GO/NO-GO decision, dual write-back to dispatch and workshop.</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TRP-03  </w:t>
            </w:r>
            <w:r>
              <w:rPr>
                <w:rFonts w:ascii="Arial" w:cs="Arial" w:eastAsia="Arial" w:hAnsi="Arial"/>
                <w:b/>
                <w:bCs/>
                <w:color w:val="FFFFFF"/>
                <w:sz w:val="24"/>
                <w:szCs w:val="24"/>
              </w:rPr>
              <w:t xml:space="preserve">In-transit temperature monitoring and exceedance alerts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Transport &amp; Mobile Integration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TRP – Transport Manager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Temperature exceedances during transport are discovered at delivery — after product integrity is compromised and liability has crystallised.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in-transit reefer temperature in real time and alerts dispatch the moment an exceedance occurs — enabling rerouting, early notification, or product recovery before delivery.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operators of refrigerated transport where cold chain integrity is a contractual or regulatory obligation.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TRP-01, TRP-04, CUS-04</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TRP-04  </w:t>
            </w:r>
            <w:r>
              <w:rPr>
                <w:rFonts w:ascii="Arial" w:cs="Arial" w:eastAsia="Arial" w:hAnsi="Arial"/>
                <w:b/>
                <w:bCs/>
                <w:color w:val="FFFFFF"/>
                <w:sz w:val="24"/>
                <w:szCs w:val="24"/>
              </w:rPr>
              <w:t xml:space="preserve">Last-mile cold delivery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Transport &amp; Mobile Integration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TRP – Transport Manager</w:t>
            </w:r>
            <w:r>
              <w:rPr>
                <w:rFonts w:ascii="Arial" w:cs="Arial" w:eastAsia="Arial" w:hAnsi="Arial"/>
                <w:color w:val="939598"/>
                <w:sz w:val="20"/>
                <w:szCs w:val="20"/>
              </w:rPr>
              <w:t xml:space="preserve">   ·   </w:t>
            </w:r>
            <w:r>
              <w:rPr>
                <w:rFonts w:ascii="Arial" w:cs="Arial" w:eastAsia="Arial" w:hAnsi="Arial"/>
                <w:b/>
                <w:bCs/>
                <w:color w:val="72243E"/>
                <w:sz w:val="20"/>
                <w:szCs w:val="20"/>
              </w:rPr>
              <w:t xml:space="preserve">CUS – Customer / Key Account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Last-mile cold delivery vehicles typically have no telematics or temperature monitoring. Cold chain integrity ends at the depot gate.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extends cold chain monitoring to last-mile vehicles, connecting lightweight temperature loggers and van telematics into the same chain of record as the trunk reefer fleet.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chain operators with last-mile delivery capability including food service, pharmaceutical distribution, and grocery delivery.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TRP-01, TRP-03</w:t>
            </w:r>
          </w:p>
        </w:tc>
      </w:tr>
    </w:tbl>
    <w:p>
      <w:pPr>
        <w:spacing w:after="0" w:before="240"/>
      </w:pPr>
    </w:p>
    <w:p>
      <w:pPr>
        <w:pStyle w:val="Heading1"/>
      </w:pPr>
      <w:r>
        <w:rPr>
          <w:rFonts w:ascii="Arial" w:cs="Arial" w:eastAsia="Arial" w:hAnsi="Arial"/>
        </w:rPr>
        <w:t xml:space="preserve">End-to-End Chain Integrity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OPS-01  </w:t>
            </w:r>
            <w:r>
              <w:rPr>
                <w:rFonts w:ascii="Arial" w:cs="Arial" w:eastAsia="Arial" w:hAnsi="Arial"/>
                <w:b/>
                <w:bCs/>
                <w:color w:val="FFFFFF"/>
                <w:sz w:val="24"/>
                <w:szCs w:val="24"/>
              </w:rPr>
              <w:t xml:space="preserve">End-to-end temperature record from production to delivery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End-to-End Chain Integrity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Cold Chain Operations Director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The temperature record for a product exists in fragments across production systems, cold store alarms, and reefer unit logs. A complete chain-of-custody temperature record does not exist.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assembles a continuous, multi-leg temperature record from the point of production through every storage, transfer, and transport event to the point of delivery.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Critical for food manufacturers, pharmaceutical distributors, and retailers with end-to-end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OPS-02, OPS-03, QAS-01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OPS-02  </w:t>
            </w:r>
            <w:r>
              <w:rPr>
                <w:rFonts w:ascii="Arial" w:cs="Arial" w:eastAsia="Arial" w:hAnsi="Arial"/>
                <w:b/>
                <w:bCs/>
                <w:color w:val="FFFFFF"/>
                <w:sz w:val="24"/>
                <w:szCs w:val="24"/>
              </w:rPr>
              <w:t xml:space="preserve">Handover point verification and custody transfer temperature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End-to-End Chain Integrity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Cold Chain Operations Director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Temperature at each custody transfer point is not recorded systematically. When a breach occurs, liability across the chain is disputed rather than evidenced.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records temperature at each custody handover point — geofence-triggered and timestamped — establishing clear liability allocation across the cold chain.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multiple custody handover points.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OPS-03, CUS-03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OPS-03  </w:t>
            </w:r>
            <w:r>
              <w:rPr>
                <w:rFonts w:ascii="Arial" w:cs="Arial" w:eastAsia="Arial" w:hAnsi="Arial"/>
                <w:b/>
                <w:bCs/>
                <w:color w:val="FFFFFF"/>
                <w:sz w:val="24"/>
                <w:szCs w:val="24"/>
              </w:rPr>
              <w:t xml:space="preserve">Cold chain break detection and automated escalation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End-to-End Chain Integrity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Cold Chain Operations Director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chain breaks are detected at the next scheduled temperature check — which may be hours after the event. Product has continued moving through the chain in breach.</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detects cold chain breaks in real time and automatically escalates to the responsible party — transport, cold store, or third-party carrier — with the product still in transit.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Highest value for multi-leg journeys with multiple responsible parties.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OPS-02, CUS-04</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OPS-04  </w:t>
            </w:r>
            <w:r>
              <w:rPr>
                <w:rFonts w:ascii="Arial" w:cs="Arial" w:eastAsia="Arial" w:hAnsi="Arial"/>
                <w:b/>
                <w:bCs/>
                <w:color w:val="FFFFFF"/>
                <w:sz w:val="24"/>
                <w:szCs w:val="24"/>
              </w:rPr>
              <w:t xml:space="preserve">Third-party carrier and 3PL cold chain visibility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End-to-End Chain Integrity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Cold Chain Operations Director</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When product moves with third-party carriers or 3PLs, the principal operator loses temperature visibility entirely. Compliance is assumed until a claim arrives.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extends cold chain monitoring to third-party carriers and 3PLs without requiring them to change their telematics or logging equipment.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chain operators using third-party logistics providers or freight forwarders.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TRP-01</w:t>
            </w:r>
          </w:p>
        </w:tc>
      </w:tr>
    </w:tbl>
    <w:p>
      <w:pPr>
        <w:spacing w:after="0" w:before="240"/>
      </w:pPr>
    </w:p>
    <w:p>
      <w:pPr>
        <w:pStyle w:val="Heading1"/>
      </w:pPr>
      <w:r>
        <w:rPr>
          <w:rFonts w:ascii="Arial" w:cs="Arial" w:eastAsia="Arial" w:hAnsi="Arial"/>
        </w:rPr>
        <w:t xml:space="preserve">Quality &amp; HACCP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QAS-01  </w:t>
            </w:r>
            <w:r>
              <w:rPr>
                <w:rFonts w:ascii="Arial" w:cs="Arial" w:eastAsia="Arial" w:hAnsi="Arial"/>
                <w:b/>
                <w:bCs/>
                <w:color w:val="FFFFFF"/>
                <w:sz w:val="24"/>
                <w:szCs w:val="24"/>
              </w:rPr>
              <w:t xml:space="preserve">HACCP critical control point monitoring and automated logging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Quality &amp; HACCP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QAS – Quality Assurance / Food Safety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HACCP CCP temperature records are maintained manually — paper logs or isolated systems. Manual entry creates gaps, transcription errors, and audit exposure.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automatically logs temperature data at all HACCP critical control points — replacing manual records with a continuous, machine-verified compliance trail.</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food production, processing, and distribution operators with HACCP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QAS-02, OPS-01, FCI-01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QAS-02  </w:t>
            </w:r>
            <w:r>
              <w:rPr>
                <w:rFonts w:ascii="Arial" w:cs="Arial" w:eastAsia="Arial" w:hAnsi="Arial"/>
                <w:b/>
                <w:bCs/>
                <w:color w:val="FFFFFF"/>
                <w:sz w:val="24"/>
                <w:szCs w:val="24"/>
              </w:rPr>
              <w:t xml:space="preserve">Automated HACCP record keeping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Quality &amp; HACCP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QAS – Quality Assurance / Food Safety Manager</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HACCP record keeping is a significant operational overhead. Records are inconsistent across sites and frequently incomplete when reviewed at audit.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replaces manual HACCP logs with automatically generated, timestamped records at every CCP — consistent, complete, and audit-ready without additional staff time.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food production, processing, and distribution operators.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QAS-01, CUS-03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QAS-03  </w:t>
            </w:r>
            <w:r>
              <w:rPr>
                <w:rFonts w:ascii="Arial" w:cs="Arial" w:eastAsia="Arial" w:hAnsi="Arial"/>
                <w:b/>
                <w:bCs/>
                <w:color w:val="FFFFFF"/>
                <w:sz w:val="24"/>
                <w:szCs w:val="24"/>
              </w:rPr>
              <w:t xml:space="preserve">Recall and traceability support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Quality &amp; HACCP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QAS – Quality Assurance / Food Safety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When a food safety incident occurs, identifying which batches were affected by a cold chain breach requires manual cross-referencing of logs, movements, and batch records.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maintains a queryable temperature and location record per batch — enabling rapid identification of affected product and defensible scope definition for recall events.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food production and distribution operators with recall and traceability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QAS-01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QAS-04  </w:t>
            </w:r>
            <w:r>
              <w:rPr>
                <w:rFonts w:ascii="Arial" w:cs="Arial" w:eastAsia="Arial" w:hAnsi="Arial"/>
                <w:b/>
                <w:bCs/>
                <w:color w:val="FFFFFF"/>
                <w:sz w:val="24"/>
                <w:szCs w:val="24"/>
              </w:rPr>
              <w:t xml:space="preserve">Pharmaceutical GDP/GMP temperature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Quality &amp; HACCP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QAS – Quality Assurance / Food Safety Manager</w:t>
            </w:r>
            <w:r>
              <w:rPr>
                <w:rFonts w:ascii="Arial" w:cs="Arial" w:eastAsia="Arial" w:hAnsi="Arial"/>
                <w:color w:val="939598"/>
                <w:sz w:val="20"/>
                <w:szCs w:val="20"/>
              </w:rPr>
              <w:t xml:space="preserve">   ·   </w:t>
            </w:r>
            <w:r>
              <w:rPr>
                <w:rFonts w:ascii="Arial" w:cs="Arial" w:eastAsia="Arial" w:hAnsi="Arial"/>
                <w:b/>
                <w:bCs/>
                <w:color w:val="72243E"/>
                <w:sz w:val="20"/>
                <w:szCs w:val="20"/>
              </w:rPr>
              <w:t xml:space="preserve">CUS – Customer / Key Account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Pharmaceutical cold chain requires documented evidence of temperature within specification throughout transit and storage. Manual records do not meet GDP/GMP audit requirements.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generates GDP/GMP-compliant temperature records for pharmaceutical products — continuous, machine-verified, and formatted for qualified person review.</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Pharmaceutical distributors, 3PLs handling pharmaceutical products, and hospital supply chain operators.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QAS-01, CUS-01, QAS-05</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QAS-05  </w:t>
            </w:r>
            <w:r>
              <w:rPr>
                <w:rFonts w:ascii="Arial" w:cs="Arial" w:eastAsia="Arial" w:hAnsi="Arial"/>
                <w:b/>
                <w:bCs/>
                <w:color w:val="FFFFFF"/>
                <w:sz w:val="24"/>
                <w:szCs w:val="24"/>
              </w:rPr>
              <w:t xml:space="preserve">Export compliance temperature documentation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Quality &amp; HACCP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QAS – Quality Assurance / Food Safety Manager</w:t>
            </w:r>
            <w:r>
              <w:rPr>
                <w:rFonts w:ascii="Arial" w:cs="Arial" w:eastAsia="Arial" w:hAnsi="Arial"/>
                <w:color w:val="939598"/>
                <w:sz w:val="20"/>
                <w:szCs w:val="20"/>
              </w:rPr>
              <w:t xml:space="preserve">   ·   </w:t>
            </w:r>
            <w:r>
              <w:rPr>
                <w:rFonts w:ascii="Arial" w:cs="Arial" w:eastAsia="Arial" w:hAnsi="Arial"/>
                <w:b/>
                <w:bCs/>
                <w:color w:val="72243E"/>
                <w:sz w:val="20"/>
                <w:szCs w:val="20"/>
              </w:rPr>
              <w:t xml:space="preserve">CUS – Customer / Key Account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Export temperature records for regulated food and pharmaceutical products must meet destination-country format requirements. Manual preparation is time-consuming and inconsistent.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auto-generates export-compliant temperature documentation from the asset-level record — formatted for customs, AQIS, and destination-country authority review.</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Food and pharmaceutical exporters subject to destination-country cold chain documentation requirements.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QAS-04, CUS-01</w:t>
            </w:r>
          </w:p>
        </w:tc>
      </w:tr>
    </w:tbl>
    <w:p>
      <w:pPr>
        <w:spacing w:after="0" w:before="240"/>
      </w:pPr>
    </w:p>
    <w:p>
      <w:pPr>
        <w:pStyle w:val="Heading1"/>
      </w:pPr>
      <w:r>
        <w:rPr>
          <w:rFonts w:ascii="Arial" w:cs="Arial" w:eastAsia="Arial" w:hAnsi="Arial"/>
        </w:rPr>
        <w:t xml:space="preserve">Energy &amp; Efficiency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FCI-06  </w:t>
            </w:r>
            <w:r>
              <w:rPr>
                <w:rFonts w:ascii="Arial" w:cs="Arial" w:eastAsia="Arial" w:hAnsi="Arial"/>
                <w:b/>
                <w:bCs/>
                <w:color w:val="FFFFFF"/>
                <w:sz w:val="24"/>
                <w:szCs w:val="24"/>
              </w:rPr>
              <w:t xml:space="preserve">Energy consumption by cold store and asset class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Energy &amp; Efficiency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FCI – Fixed Cold Infrastructure Manager</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store energy is billed at the site level. Individual cold room, blast freezer, and dock energy consumption is not visible — inefficiencies are invisible until the quarterly bill.</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energy consumption per cold store asset and site — identifying high consumers, performance degradation, and efficiency improvement opportunities.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significant cold storage infrastructure.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ENG-01, FIN-01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FCI-07  </w:t>
            </w:r>
            <w:r>
              <w:rPr>
                <w:rFonts w:ascii="Arial" w:cs="Arial" w:eastAsia="Arial" w:hAnsi="Arial"/>
                <w:b/>
                <w:bCs/>
                <w:color w:val="FFFFFF"/>
                <w:sz w:val="24"/>
                <w:szCs w:val="24"/>
              </w:rPr>
              <w:t xml:space="preserve">Defrost cycle optimisation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Energy &amp; Efficiency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FCI – Fixed Cold Infrastructure Manager</w:t>
            </w:r>
            <w:r>
              <w:rPr>
                <w:rFonts w:ascii="Arial" w:cs="Arial" w:eastAsia="Arial" w:hAnsi="Arial"/>
                <w:color w:val="939598"/>
                <w:sz w:val="20"/>
                <w:szCs w:val="20"/>
              </w:rPr>
              <w:t xml:space="preserve">   ·   </w:t>
            </w:r>
            <w:r>
              <w:rPr>
                <w:rFonts w:ascii="Arial" w:cs="Arial" w:eastAsia="Arial" w:hAnsi="Arial"/>
                <w:b/>
                <w:bCs/>
                <w:color w:val="5F5E5A"/>
                <w:sz w:val="20"/>
                <w:szCs w:val="20"/>
              </w:rPr>
              <w:t xml:space="preserve">ENG – Engineering / Facilities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Defrost cycles run on fixed schedules regardless of load, ambient conditions, or accumulated ice. Fixed cycles waste energy and increase temperature variance.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ice accumulation signals and ambient conditions to trigger defrost cycles only when needed — reducing energy consumption and temperature exceedance risk.</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refrigeration plant subject to defrost cycling.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ENG-01, ENG-02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ENG-01  </w:t>
            </w:r>
            <w:r>
              <w:rPr>
                <w:rFonts w:ascii="Arial" w:cs="Arial" w:eastAsia="Arial" w:hAnsi="Arial"/>
                <w:b/>
                <w:bCs/>
                <w:color w:val="FFFFFF"/>
                <w:sz w:val="24"/>
                <w:szCs w:val="24"/>
              </w:rPr>
              <w:t xml:space="preserve">Refrigeration plant efficiency monitoring (COP)</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Energy &amp; Efficiency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ENG – Engineering / Facilities Manager</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Coefficient of performance degradation is gradual and invisible without continuous monitoring. Plants run at declining efficiency for months before failure.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COP trends per refrigeration unit — surfacing efficiency degradation before it becomes an energy cost or reliability problem.</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owned or long-term leased refrigeration plant.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ENG-02, ENG-03, FCI-07</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FIN-01  </w:t>
            </w:r>
            <w:r>
              <w:rPr>
                <w:rFonts w:ascii="Arial" w:cs="Arial" w:eastAsia="Arial" w:hAnsi="Arial"/>
                <w:b/>
                <w:bCs/>
                <w:color w:val="FFFFFF"/>
                <w:sz w:val="24"/>
                <w:szCs w:val="24"/>
              </w:rPr>
              <w:t xml:space="preserve">Energy cost allocation by customer, product line, and cold store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Energy &amp; Efficiency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FIN – Finance / Commercial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Energy cost is the largest variable cost in cold chain storage and cannot be accurately allocated to individual customers or product lines from a site-level bill.</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maps energy consumption to cold store zones, product types, and customer storage allocations — enabling accurate cost-to-serve analysis and customer billing.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Multi-customer cold store operators and 3PLs where energy cost allocation drives billing or margin analysis.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FCI-06, ENG-01</w:t>
            </w:r>
          </w:p>
        </w:tc>
      </w:tr>
    </w:tbl>
    <w:p>
      <w:pPr>
        <w:spacing w:after="0" w:before="240"/>
      </w:pPr>
    </w:p>
    <w:p>
      <w:pPr>
        <w:pStyle w:val="Heading1"/>
      </w:pPr>
      <w:r>
        <w:rPr>
          <w:rFonts w:ascii="Arial" w:cs="Arial" w:eastAsia="Arial" w:hAnsi="Arial"/>
        </w:rPr>
        <w:t xml:space="preserve">Maintenance &amp; Uptime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ENG-02  </w:t>
            </w:r>
            <w:r>
              <w:rPr>
                <w:rFonts w:ascii="Arial" w:cs="Arial" w:eastAsia="Arial" w:hAnsi="Arial"/>
                <w:b/>
                <w:bCs/>
                <w:color w:val="FFFFFF"/>
                <w:sz w:val="24"/>
                <w:szCs w:val="24"/>
              </w:rPr>
              <w:t xml:space="preserve">Refrigeration plant condition-based PM scheduling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Uptime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ENG – Engineering / Facilities Manager</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FCI – Fixed Cold Infrastructure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Refrigeration plant service schedules run on calendar intervals. Plants with high load reach service thresholds before the next scheduled visit.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triggers service alerts from actual operating hours, load factor, and condition signals — ensuring refrigeration plant is serviced when it needs it, not the calendar.</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owned or maintained refrigeration plant.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ENG-03, ENG-05, TRP-02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ENG-03  </w:t>
            </w:r>
            <w:r>
              <w:rPr>
                <w:rFonts w:ascii="Arial" w:cs="Arial" w:eastAsia="Arial" w:hAnsi="Arial"/>
                <w:b/>
                <w:bCs/>
                <w:color w:val="FFFFFF"/>
                <w:sz w:val="24"/>
                <w:szCs w:val="24"/>
              </w:rPr>
              <w:t xml:space="preserve">Compressor and condenser health monitoring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Uptime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ENG – Engineering / Facilities Manager</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FCI – Fixed Cold Infrastructure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Compressor and condenser failures cause cold store temperature events resulting in product loss. Early warning signals exist in the data but are never continuously monitored.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surfaces compressor and condenser health signals — discharge temperature, current draw, pressure differentials — to enable intervention before failure.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compressor-based refrigeration plant.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ENG-02, ENG-04, ENG-05</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ENG-04  </w:t>
            </w:r>
            <w:r>
              <w:rPr>
                <w:rFonts w:ascii="Arial" w:cs="Arial" w:eastAsia="Arial" w:hAnsi="Arial"/>
                <w:b/>
                <w:bCs/>
                <w:color w:val="FFFFFF"/>
                <w:sz w:val="24"/>
                <w:szCs w:val="24"/>
              </w:rPr>
              <w:t xml:space="preserve">Refrigerant leak detection integration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Uptime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ENG – Engineering / Facilities Manager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Refrigerant leaks degrade system performance gradually. Detection relies on scheduled manual checks or acute alarm events — neither catches a slow leak before it becomes a system failure.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integrates refrigerant detection sensors into the operational monitoring layer — alerting engineering on anomalous trends before a slow leak causes a cold store failure.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Refrigerant leak detection is a regulatory requirement in most jurisdictions.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ENG-03, ENG-05</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ENG-05  </w:t>
            </w:r>
            <w:r>
              <w:rPr>
                <w:rFonts w:ascii="Arial" w:cs="Arial" w:eastAsia="Arial" w:hAnsi="Arial"/>
                <w:b/>
                <w:bCs/>
                <w:color w:val="FFFFFF"/>
                <w:sz w:val="24"/>
                <w:szCs w:val="24"/>
              </w:rPr>
              <w:t xml:space="preserve">Cold store failure prediction and prevention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Uptime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ENG – Engineering / Facilities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store failures resulting in product loss are almost always preceded by warning signals that go unnoticed. The first indication is a temperature alarm — too late for prevention.</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the combination of degradation signals — COP decline, temperature variance increase, defrost frequency change — to predict cold store failures before product loss occurs.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Highest value for high-value product storage where a single failure event justifies the platform cost.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ENG-02, ENG-03, ENG-04</w:t>
            </w:r>
          </w:p>
        </w:tc>
      </w:tr>
    </w:tbl>
    <w:p>
      <w:pPr>
        <w:spacing w:after="0" w:before="240"/>
      </w:pPr>
    </w:p>
    <w:p>
      <w:pPr>
        <w:pStyle w:val="Heading1"/>
      </w:pPr>
      <w:r>
        <w:rPr>
          <w:rFonts w:ascii="Arial" w:cs="Arial" w:eastAsia="Arial" w:hAnsi="Arial"/>
        </w:rPr>
        <w:t xml:space="preserve">Customer Reporting &amp; Traceability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CUS-01  </w:t>
            </w:r>
            <w:r>
              <w:rPr>
                <w:rFonts w:ascii="Arial" w:cs="Arial" w:eastAsia="Arial" w:hAnsi="Arial"/>
                <w:b/>
                <w:bCs/>
                <w:color w:val="FFFFFF"/>
                <w:sz w:val="24"/>
                <w:szCs w:val="24"/>
              </w:rPr>
              <w:t xml:space="preserve">Per-shipment temperature compliance certificate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Customer Reporting &amp; Traceability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2243E"/>
                <w:sz w:val="20"/>
                <w:szCs w:val="20"/>
              </w:rPr>
              <w:t xml:space="preserve">CUS – Customer / Key Account Manager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Customers require temperature compliance evidence per delivery. Manual certificate production per shipment is not scalable and is frequently incomplete or delayed.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auto-generates per-shipment temperature compliance certificates — from loading bay to delivery point — including exceedance events, recovery times, and handover verification.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customer cold chain compliance reporting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QAS-04, QAS-05, CUS-03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CUS-02  </w:t>
            </w:r>
            <w:r>
              <w:rPr>
                <w:rFonts w:ascii="Arial" w:cs="Arial" w:eastAsia="Arial" w:hAnsi="Arial"/>
                <w:b/>
                <w:bCs/>
                <w:color w:val="FFFFFF"/>
                <w:sz w:val="24"/>
                <w:szCs w:val="24"/>
              </w:rPr>
              <w:t xml:space="preserve">Customer SLA performance reporting — temperature adherence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Customer Reporting &amp; Traceability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2243E"/>
                <w:sz w:val="20"/>
                <w:szCs w:val="20"/>
              </w:rPr>
              <w:t xml:space="preserve">CUS – Customer / Key Account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Cold Chain Operations Director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Cold chain SLA performance is reported from manual logs that do not reflect actual temperature history. Customers receive reports that do not match what happened in transit.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generates SLA performance reports from actual sensor data — temperature adherence, exceedance rate, recovery time — replacing manual estimates with machine-verified ground truth.</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customer SLA reporting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CUS-01, CUS-03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CUS-03  </w:t>
            </w:r>
            <w:r>
              <w:rPr>
                <w:rFonts w:ascii="Arial" w:cs="Arial" w:eastAsia="Arial" w:hAnsi="Arial"/>
                <w:b/>
                <w:bCs/>
                <w:color w:val="FFFFFF"/>
                <w:sz w:val="24"/>
                <w:szCs w:val="24"/>
              </w:rPr>
              <w:t xml:space="preserve">Cold chain audit trail for customer and regulator review</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Customer Reporting &amp; Traceability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2243E"/>
                <w:sz w:val="20"/>
                <w:szCs w:val="20"/>
              </w:rPr>
              <w:t xml:space="preserve">CUS – Customer / Key Account Manager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QAS – Quality Assurance / Food Safety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Customers in food, pharmaceutical, and retail increasingly require the full cold chain audit trail as a condition of supply. Manual records cannot meet this standard.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provides a queryable, machine-verified cold chain audit trail — temperature, location, custody handover, and compliance events — accessible for customer and regulator review.</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audit trail obligations or key account requirements.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QAS-01, QAS-02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CUS-04  </w:t>
            </w:r>
            <w:r>
              <w:rPr>
                <w:rFonts w:ascii="Arial" w:cs="Arial" w:eastAsia="Arial" w:hAnsi="Arial"/>
                <w:b/>
                <w:bCs/>
                <w:color w:val="FFFFFF"/>
                <w:sz w:val="24"/>
                <w:szCs w:val="24"/>
              </w:rPr>
              <w:t xml:space="preserve">Proactive customer notification on temperature deviation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Customer Reporting &amp; Traceability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2243E"/>
                <w:sz w:val="20"/>
                <w:szCs w:val="20"/>
              </w:rPr>
              <w:t xml:space="preserve">CUS – Customer / Key Account Manager</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TRP – Transport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Customers find out about cold chain failures when product arrives compromised. Notification comes after the damage, not during.</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automatically notifies customers when a temperature deviation occurs in their product consignment while still in transit — enabling commercial decisions before delivery.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cold chain operators with time-sensitive product consignments and customer notification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OPS-03, TRP-03, CUS-01</w:t>
            </w:r>
          </w:p>
        </w:tc>
      </w:tr>
    </w:tbl>
    <w:p>
      <w:pPr>
        <w:spacing w:after="0" w:before="240"/>
      </w:pPr>
    </w:p>
    <w:sectPr>
      <w:headerReference w:type="default" r:id="rId7"/>
      <w:footerReference w:type="default" r:id="rId8"/>
      <w:pgSz w:w="12240" w:h="15840" w:orient="portrait"/>
      <w:pgMar w:top="1080" w:right="1080" w:bottom="1080" w:left="1080" w:header="708"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FF5" w:sz="4" w:space="6"/>
      </w:pBdr>
      <w:spacing w:after="0" w:before="0"/>
      <w:jc w:val="left"/>
      <w:tabs>
        <w:tab w:val="center" w:pos="4680"/>
        <w:tab w:val="right" w:pos="9360"/>
      </w:tabs>
    </w:pPr>
    <w:r>
      <w:rPr>
        <w:sz w:val="16"/>
        <w:szCs w:val="16"/>
        <w:b/>
        <w:color w:val="022241"/>
      </w:rPr>
      <w:t>Inauro</w:t>
    </w:r>
    <w:r>
      <w:rPr>
        <w:sz w:val="16"/>
        <w:szCs w:val="16"/>
        <w:color w:val="999999"/>
      </w:rPr>
      <w:t xml:space="preserve">  ·  Partner Programme  ·  Confidential</w:t>
    </w:r>
    <w:r>
      <w:rPr>
        <w:sz w:val="16"/>
        <w:szCs w:val="16"/>
      </w:rPr>
      <w:tab/>
    </w:r>
    <w:r>
      <w:rPr>
        <w:sz w:val="16"/>
        <w:szCs w:val="16"/>
        <w:color w:val="999999"/>
      </w:rPr>
      <w:t>Cold Chain Use Case Library</w:t>
    </w:r>
    <w:r>
      <w:rPr>
        <w:sz w:val="16"/>
        <w:szCs w:val="16"/>
      </w:rPr>
      <w:tab/>
    </w:r>
    <w:r>
      <w:rPr>
        <w:sz w:val="16"/>
        <w:szCs w:val="16"/>
        <w:color w:val="999999"/>
      </w:rPr>
      <w:t xml:space="preserve">Page </w:t>
    </w:r>
    <w:r>
      <w:rPr>
        <w:sz w:val="16"/>
        <w:szCs w:val="16"/>
        <w:color w:val="999999"/>
      </w:rPr>
      <w:fldChar w:fldCharType="begin"/>
    </w:r>
    <w:r>
      <w:rPr>
        <w:sz w:val="16"/>
        <w:szCs w:val="16"/>
        <w:color w:val="999999"/>
      </w:rPr>
      <w:instrText> PAGE </w:instrText>
    </w:r>
    <w:r>
      <w:rPr>
        <w:sz w:val="16"/>
        <w:szCs w:val="16"/>
        <w:color w:val="9999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noProof/>
      </w:rPr>
      <w:pict>
        <v:shape id="PowerPlusWaterMarkObject" o:spid="_x0000_s2051" type="#_x0000_t136" style="position:absolute;margin-left:0;margin-top:0;width:527.85pt;height:131.95pt;z-index:-251654144;mso-position-horizontal:center;mso-position-horizontal-relative:margin;mso-position-vertical:center;mso-position-vertical-relative:margin" fillcolor="#CCCCCC" stroked="f">
          <v:fill on="t" focussize="0,0"/>
          <v:textpath style="font-family:Arial;font-size:1pt;font-weight:bold" string="CONFIDENTIAL" trim="t" o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098FF" w:sz="6" w:space="4"/>
      </w:pBdr>
      <w:spacing w:after="200" w:before="400"/>
      <w:outlineLvl w:val="0"/>
    </w:pPr>
    <w:rPr>
      <w:rFonts w:ascii="Arial" w:cs="Arial" w:eastAsia="Arial" w:hAnsi="Arial"/>
      <w:b/>
      <w:bCs/>
      <w:color w:val="022241"/>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022241"/>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1F9F545131246814F2F4A04D59789" ma:contentTypeVersion="20" ma:contentTypeDescription="Create a new document." ma:contentTypeScope="" ma:versionID="e41d53592cee18d6fec9b6f20b720f10">
  <xsd:schema xmlns:xsd="http://www.w3.org/2001/XMLSchema" xmlns:xs="http://www.w3.org/2001/XMLSchema" xmlns:p="http://schemas.microsoft.com/office/2006/metadata/properties" xmlns:ns2="66ad07ab-9dc2-477b-ab38-49acf5b6606e" xmlns:ns3="47218da7-933b-400b-960e-db670d137b30" targetNamespace="http://schemas.microsoft.com/office/2006/metadata/properties" ma:root="true" ma:fieldsID="928b3a2a1a25581d9c3edaa1e039caba" ns2:_="" ns3:_="">
    <xsd:import namespace="66ad07ab-9dc2-477b-ab38-49acf5b6606e"/>
    <xsd:import namespace="47218da7-933b-400b-960e-db670d137b3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07ab-9dc2-477b-ab38-49acf5b6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0abd95-6d3f-43b2-91a7-31acf1ef5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18da7-933b-400b-960e-db670d13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6c7a2-b39e-403a-b813-b38377b68b1f}" ma:internalName="TaxCatchAll" ma:showField="CatchAllData" ma:web="47218da7-933b-400b-960e-db670d137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d07ab-9dc2-477b-ab38-49acf5b6606e">
      <Terms xmlns="http://schemas.microsoft.com/office/infopath/2007/PartnerControls"/>
    </lcf76f155ced4ddcb4097134ff3c332f>
    <TaxCatchAll xmlns="47218da7-933b-400b-960e-db670d137b30" xsi:nil="true"/>
  </documentManagement>
</p:properties>
</file>

<file path=customXml/itemProps1.xml><?xml version="1.0" encoding="utf-8"?>
<ds:datastoreItem xmlns:ds="http://schemas.openxmlformats.org/officeDocument/2006/customXml" ds:itemID="{52D478C7-5261-4F86-91CE-997E7098B1C6}"/>
</file>

<file path=customXml/itemProps2.xml><?xml version="1.0" encoding="utf-8"?>
<ds:datastoreItem xmlns:ds="http://schemas.openxmlformats.org/officeDocument/2006/customXml" ds:itemID="{F47C9E95-466C-4A26-AD7E-D84E7057803D}"/>
</file>

<file path=customXml/itemProps3.xml><?xml version="1.0" encoding="utf-8"?>
<ds:datastoreItem xmlns:ds="http://schemas.openxmlformats.org/officeDocument/2006/customXml" ds:itemID="{60389F78-6DBC-4CB8-89C8-E83966F5DB9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2026-06-12T06:45:58Z</dcterms:created>
  <dcterms:modified xsi:type="dcterms:W3CDTF">2026-06-12T06:45:58Z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0x010100D131F9F545131246814F2F4A04D59789</vt:lpwstr>
  </property>
</Properties>
</file>