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000"/>
      </w:pPr>
    </w:p>
    <w:p>
      <w:pPr>
        <w:spacing w:after="80" w:before="0"/>
        <w:jc w:val="left"/>
      </w:pPr>
      <w:r>
        <w:rPr>
          <w:rFonts w:ascii="Arial" w:cs="Arial" w:eastAsia="Arial" w:hAnsi="Arial"/>
          <w:b/>
          <w:bCs/>
          <w:color w:val="022241"/>
          <w:sz w:val="80"/>
          <w:szCs w:val="80"/>
        </w:rPr>
        <w:t xml:space="preserve">Perspio™</w:t>
      </w:r>
    </w:p>
    <w:p>
      <w:pPr>
        <w:spacing w:after="480" w:before="0"/>
        <w:jc w:val="left"/>
      </w:pPr>
      <w:r>
        <w:rPr>
          <w:rFonts w:ascii="Arial" w:cs="Arial" w:eastAsia="Arial" w:hAnsi="Arial"/>
          <w:color w:val="0098FF"/>
          <w:sz w:val="48"/>
          <w:szCs w:val="48"/>
        </w:rPr>
        <w:t xml:space="preserve">Mining &amp; Resources Use Case Library</w:t>
      </w:r>
    </w:p>
    <w:p>
      <w:pPr>
        <w:spacing w:after="80" w:before="0"/>
        <w:jc w:val="left"/>
      </w:pPr>
      <w:r>
        <w:rPr>
          <w:rFonts w:ascii="Arial" w:cs="Arial" w:eastAsia="Arial" w:hAnsi="Arial"/>
          <w:color w:val="939598"/>
          <w:sz w:val="22"/>
          <w:szCs w:val="22"/>
        </w:rPr>
        <w:t xml:space="preserve">Powered by Inauro  ·  Industrial AI for Mining  ·  v1.0</w:t>
      </w:r>
    </w:p>
    <w:p>
      <w:r>
        <w:br w:type="page"/>
      </w:r>
    </w:p>
    <w:p>
      <w:pPr>
        <w:pStyle w:val="Heading1"/>
      </w:pPr>
      <w:r>
        <w:rPr>
          <w:rFonts w:ascii="Arial" w:cs="Arial" w:eastAsia="Arial" w:hAnsi="Arial"/>
        </w:rPr>
        <w:t xml:space="preserve">About This Document</w:t>
      </w:r>
    </w:p>
    <w:p>
      <w:pPr>
        <w:spacing w:after="120" w:before="0"/>
      </w:pPr>
      <w:r>
        <w:rPr>
          <w:rFonts w:ascii="Arial" w:cs="Arial" w:eastAsia="Arial" w:hAnsi="Arial"/>
          <w:color w:val="30302E"/>
          <w:sz w:val="20"/>
          <w:szCs w:val="20"/>
        </w:rPr>
        <w:t xml:space="preserve">This library documents the complete set of Perspio™ use cases for the mining and resources industry. It covers surface mining as the primary context, with underground operations as a dedicated domain. The core Perspio value story in mining is federation: Cat VIMS, Komatsu KOMTRAX, Modular Mining, blast management, fatigue tools, and payload systems all generate data independently. Perspio connects them, composes the operational picture, and routes the right signal to the right system — and where needed, acts on it autonomously.</w:t>
      </w:r>
    </w:p>
    <w:p>
      <w:pPr>
        <w:spacing w:after="0" w:before="160"/>
      </w:pPr>
    </w:p>
    <w:p>
      <w:pPr>
        <w:pStyle w:val="Heading2"/>
      </w:pPr>
      <w:r>
        <w:rPr>
          <w:rFonts w:ascii="Arial" w:cs="Arial" w:eastAsia="Arial" w:hAnsi="Arial"/>
        </w:rPr>
        <w:t xml:space="preserve">Role Reference</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200"/>
        <w:gridCol w:w="6260"/>
      </w:tblGrid>
      <w:tr>
        <w:tc>
          <w:tcPr>
            <w:tcW w:type="dxa" w:w="90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Code</w:t>
            </w:r>
          </w:p>
        </w:tc>
        <w:tc>
          <w:tcPr>
            <w:tcW w:type="dxa" w:w="220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Role</w:t>
            </w:r>
          </w:p>
        </w:tc>
        <w:tc>
          <w:tcPr>
            <w:tcW w:type="dxa" w:w="626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Primary focus</w:t>
            </w:r>
          </w:p>
        </w:tc>
      </w:tr>
      <w:tr>
        <w:tc>
          <w:tcPr>
            <w:tcW w:type="dxa" w:w="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b/>
                <w:bCs/>
                <w:color w:val="3C3489"/>
                <w:sz w:val="20"/>
                <w:szCs w:val="20"/>
              </w:rPr>
              <w:t xml:space="preserve">OPS</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Operations Manager / Mine Manager</w:t>
            </w:r>
          </w:p>
        </w:tc>
        <w:tc>
          <w:tcPr>
            <w:tcW w:type="dxa" w:w="62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Production targets, shift performance, cost per tonne, contractor oversight, and regulatory obligations.</w:t>
            </w:r>
          </w:p>
        </w:tc>
      </w:tr>
      <w:tr>
        <w:tc>
          <w:tcPr>
            <w:tcW w:type="dxa" w:w="9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b/>
                <w:bCs/>
                <w:color w:val="27500A"/>
                <w:sz w:val="20"/>
                <w:szCs w:val="20"/>
              </w:rPr>
              <w:t xml:space="preserve">HME</w:t>
            </w:r>
          </w:p>
        </w:tc>
        <w:tc>
          <w:tcPr>
            <w:tcW w:type="dxa" w:w="22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Heavy Mobile Equipment Manager</w:t>
            </w:r>
          </w:p>
        </w:tc>
        <w:tc>
          <w:tcPr>
            <w:tcW w:type="dxa" w:w="626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Fleet procurement, OEM systems, utilisation, cycle times, and equipment effectiveness.</w:t>
            </w:r>
          </w:p>
        </w:tc>
      </w:tr>
      <w:tr>
        <w:tc>
          <w:tcPr>
            <w:tcW w:type="dxa" w:w="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b/>
                <w:bCs/>
                <w:color w:val="791F1F"/>
                <w:sz w:val="20"/>
                <w:szCs w:val="20"/>
              </w:rPr>
              <w:t xml:space="preserve">HSE</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Safety Superintendent</w:t>
            </w:r>
          </w:p>
        </w:tc>
        <w:tc>
          <w:tcPr>
            <w:tcW w:type="dxa" w:w="62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Fatigue management, exclusion zones, blast compliance, proximity detection, and regulatory evidence.</w:t>
            </w:r>
          </w:p>
        </w:tc>
      </w:tr>
      <w:tr>
        <w:tc>
          <w:tcPr>
            <w:tcW w:type="dxa" w:w="9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b/>
                <w:bCs/>
                <w:color w:val="0C447C"/>
                <w:sz w:val="20"/>
                <w:szCs w:val="20"/>
              </w:rPr>
              <w:t xml:space="preserve">DSP</w:t>
            </w:r>
          </w:p>
        </w:tc>
        <w:tc>
          <w:tcPr>
            <w:tcW w:type="dxa" w:w="22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Dispatcher / Control Room</w:t>
            </w:r>
          </w:p>
        </w:tc>
        <w:tc>
          <w:tcPr>
            <w:tcW w:type="dxa" w:w="626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Real-time fleet allocation, truck cycles, production dispatch, and control room operations.</w:t>
            </w:r>
          </w:p>
        </w:tc>
      </w:tr>
      <w:tr>
        <w:tc>
          <w:tcPr>
            <w:tcW w:type="dxa" w:w="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b/>
                <w:bCs/>
                <w:color w:val="5F5E5A"/>
                <w:sz w:val="20"/>
                <w:szCs w:val="20"/>
              </w:rPr>
              <w:t xml:space="preserve">MNT</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Maintenance Superintendent</w:t>
            </w:r>
          </w:p>
        </w:tc>
        <w:tc>
          <w:tcPr>
            <w:tcW w:type="dxa" w:w="62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PM scheduling, breakdown prevention, tyre management, component life, and CMMS.</w:t>
            </w:r>
          </w:p>
        </w:tc>
      </w:tr>
      <w:tr>
        <w:tc>
          <w:tcPr>
            <w:tcW w:type="dxa" w:w="9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b/>
                <w:bCs/>
                <w:color w:val="085041"/>
                <w:sz w:val="20"/>
                <w:szCs w:val="20"/>
              </w:rPr>
              <w:t xml:space="preserve">ENV</w:t>
            </w:r>
          </w:p>
        </w:tc>
        <w:tc>
          <w:tcPr>
            <w:tcW w:type="dxa" w:w="220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Environment &amp; Compliance Manager</w:t>
            </w:r>
          </w:p>
        </w:tc>
        <w:tc>
          <w:tcPr>
            <w:tcW w:type="dxa" w:w="6260"/>
            <w:tcBorders>
              <w:top w:val="single" w:color="DDDDDD" w:sz="1"/>
              <w:left w:val="single" w:color="DDDDDD" w:sz="1"/>
              <w:bottom w:val="single" w:color="DDDDDD" w:sz="1"/>
              <w:right w:val="single" w:color="DDDDDD" w:sz="1"/>
            </w:tcBorders>
            <w:shd w:fill="F8FAFB"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Dust, noise, water, and blast monitoring plus environmental licence compliance.</w:t>
            </w:r>
          </w:p>
        </w:tc>
      </w:tr>
      <w:tr>
        <w:tc>
          <w:tcPr>
            <w:tcW w:type="dxa" w:w="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b/>
                <w:bCs/>
                <w:color w:val="633806"/>
                <w:sz w:val="20"/>
                <w:szCs w:val="20"/>
              </w:rPr>
              <w:t xml:space="preserve">FIN</w:t>
            </w:r>
          </w:p>
        </w:tc>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80"/>
            </w:tcMar>
          </w:tcPr>
          <w:p>
            <w:pPr>
              <w:spacing w:after="0" w:before="0"/>
            </w:pPr>
            <w:r>
              <w:rPr>
                <w:rFonts w:ascii="Arial" w:cs="Arial" w:eastAsia="Arial" w:hAnsi="Arial"/>
                <w:color w:val="30302E"/>
                <w:sz w:val="20"/>
                <w:szCs w:val="20"/>
              </w:rPr>
              <w:t xml:space="preserve">Finance / Commercial</w:t>
            </w:r>
          </w:p>
        </w:tc>
        <w:tc>
          <w:tcPr>
            <w:tcW w:type="dxa" w:w="62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939598"/>
                <w:sz w:val="18"/>
                <w:szCs w:val="18"/>
              </w:rPr>
              <w:t xml:space="preserve">Fuel cost allocation, FTC recovery, contractor invoicing, and production cost per tonne.</w:t>
            </w:r>
          </w:p>
        </w:tc>
      </w:tr>
    </w:tbl>
    <w:p>
      <w:pPr>
        <w:spacing w:after="0" w:before="240"/>
      </w:pPr>
    </w:p>
    <w:p>
      <w:pPr>
        <w:pStyle w:val="Heading2"/>
      </w:pPr>
      <w:r>
        <w:rPr>
          <w:rFonts w:ascii="Arial" w:cs="Arial" w:eastAsia="Arial" w:hAnsi="Arial"/>
        </w:rPr>
        <w:t xml:space="preserve">Integration Level Framework</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800"/>
        <w:gridCol w:w="6160"/>
      </w:tblGrid>
      <w:tr>
        <w:tc>
          <w:tcPr>
            <w:tcW w:type="dxa" w:w="140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Level</w:t>
            </w:r>
          </w:p>
        </w:tc>
        <w:tc>
          <w:tcPr>
            <w:tcW w:type="dxa" w:w="180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Stage</w:t>
            </w:r>
          </w:p>
        </w:tc>
        <w:tc>
          <w:tcPr>
            <w:tcW w:type="dxa" w:w="6160"/>
            <w:tcBorders>
              <w:top w:val="single" w:color="DDDDDD" w:sz="1"/>
              <w:left w:val="single" w:color="DDDDDD" w:sz="1"/>
              <w:bottom w:val="single" w:color="DDDDDD" w:sz="1"/>
              <w:right w:val="single" w:color="DDDDDD" w:sz="1"/>
            </w:tcBorders>
            <w:shd w:fill="022241" w:val="clear"/>
            <w:tcMar>
              <w:top w:type="dxa" w:w="80"/>
              <w:left w:type="dxa" w:w="120"/>
              <w:bottom w:type="dxa" w:w="80"/>
              <w:right w:type="dxa" w:w="80"/>
            </w:tcMar>
          </w:tcPr>
          <w:p>
            <w:pPr>
              <w:spacing w:after="0" w:before="0"/>
            </w:pPr>
            <w:r>
              <w:rPr>
                <w:rFonts w:ascii="Arial" w:cs="Arial" w:eastAsia="Arial" w:hAnsi="Arial"/>
                <w:b/>
                <w:bCs/>
                <w:color w:val="FFFFFF"/>
                <w:sz w:val="18"/>
                <w:szCs w:val="18"/>
              </w:rPr>
              <w:t xml:space="preserve">What Perspio does</w:t>
            </w:r>
          </w:p>
        </w:tc>
      </w:tr>
      <w:tr>
        <w:tc>
          <w:tcPr>
            <w:tcW w:type="dxa" w:w="1400"/>
            <w:tcBorders>
              <w:top w:val="single" w:color="DDDDDD" w:sz="1"/>
              <w:left w:val="single" w:color="DDDDDD" w:sz="1"/>
              <w:bottom w:val="single" w:color="DDDDDD" w:sz="1"/>
              <w:right w:val="single" w:color="DDDDDD" w:sz="1"/>
            </w:tcBorders>
            <w:shd w:fill="E6F1FB" w:val="clear"/>
            <w:tcMar>
              <w:top w:type="dxa" w:w="100"/>
              <w:left w:type="dxa" w:w="120"/>
              <w:bottom w:type="dxa" w:w="100"/>
              <w:right w:type="dxa" w:w="80"/>
            </w:tcMar>
          </w:tcPr>
          <w:p>
            <w:pPr>
              <w:spacing w:after="0" w:before="0"/>
            </w:pPr>
            <w:r>
              <w:rPr>
                <w:rFonts w:ascii="Arial" w:cs="Arial" w:eastAsia="Arial" w:hAnsi="Arial"/>
                <w:b/>
                <w:bCs/>
                <w:color w:val="0C447C"/>
                <w:sz w:val="24"/>
                <w:szCs w:val="24"/>
              </w:rPr>
              <w:t xml:space="preserve">L1</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t xml:space="preserve">Visibility</w:t>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t xml:space="preserve">Reads and surfaces data. No write-back. Insight only.</w:t>
            </w:r>
          </w:p>
        </w:tc>
      </w:tr>
      <w:tr>
        <w:tc>
          <w:tcPr>
            <w:tcW w:type="dxa" w:w="1400"/>
            <w:tcBorders>
              <w:top w:val="single" w:color="DDDDDD" w:sz="1"/>
              <w:left w:val="single" w:color="DDDDDD" w:sz="1"/>
              <w:bottom w:val="single" w:color="DDDDDD" w:sz="1"/>
              <w:right w:val="single" w:color="DDDDDD" w:sz="1"/>
            </w:tcBorders>
            <w:shd w:fill="EAF3DE" w:val="clear"/>
            <w:tcMar>
              <w:top w:type="dxa" w:w="100"/>
              <w:left w:type="dxa" w:w="120"/>
              <w:bottom w:type="dxa" w:w="100"/>
              <w:right w:type="dxa" w:w="80"/>
            </w:tcMar>
          </w:tcPr>
          <w:p>
            <w:pPr>
              <w:spacing w:after="0" w:before="0"/>
            </w:pPr>
            <w:r>
              <w:rPr>
                <w:rFonts w:ascii="Arial" w:cs="Arial" w:eastAsia="Arial" w:hAnsi="Arial"/>
                <w:b/>
                <w:bCs/>
                <w:color w:val="27500A"/>
                <w:sz w:val="24"/>
                <w:szCs w:val="24"/>
              </w:rPr>
              <w:t xml:space="preserve">L2</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t xml:space="preserve">Suggestion</w:t>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t xml:space="preserve">Analyses data and surfaces recommendations. User decides whether to act.</w:t>
            </w:r>
          </w:p>
        </w:tc>
      </w:tr>
      <w:tr>
        <w:tc>
          <w:tcPr>
            <w:tcW w:type="dxa" w:w="1400"/>
            <w:tcBorders>
              <w:top w:val="single" w:color="DDDDDD" w:sz="1"/>
              <w:left w:val="single" w:color="DDDDDD" w:sz="1"/>
              <w:bottom w:val="single" w:color="DDDDDD" w:sz="1"/>
              <w:right w:val="single" w:color="DDDDDD" w:sz="1"/>
            </w:tcBorders>
            <w:shd w:fill="FAEEDA" w:val="clear"/>
            <w:tcMar>
              <w:top w:type="dxa" w:w="100"/>
              <w:left w:type="dxa" w:w="120"/>
              <w:bottom w:type="dxa" w:w="100"/>
              <w:right w:type="dxa" w:w="80"/>
            </w:tcMar>
          </w:tcPr>
          <w:p>
            <w:pPr>
              <w:spacing w:after="0" w:before="0"/>
            </w:pPr>
            <w:r>
              <w:rPr>
                <w:rFonts w:ascii="Arial" w:cs="Arial" w:eastAsia="Arial" w:hAnsi="Arial"/>
                <w:b/>
                <w:bCs/>
                <w:color w:val="633806"/>
                <w:sz w:val="24"/>
                <w:szCs w:val="24"/>
              </w:rPr>
              <w:t xml:space="preserve">L3</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t xml:space="preserve">Control</w:t>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t xml:space="preserve">Writes data back to connected systems or triggers actions automatically.</w:t>
            </w:r>
          </w:p>
        </w:tc>
      </w:tr>
      <w:tr>
        <w:tc>
          <w:tcPr>
            <w:tcW w:type="dxa" w:w="1400"/>
            <w:tcBorders>
              <w:top w:val="single" w:color="DDDDDD" w:sz="1"/>
              <w:left w:val="single" w:color="DDDDDD" w:sz="1"/>
              <w:bottom w:val="single" w:color="DDDDDD" w:sz="1"/>
              <w:right w:val="single" w:color="DDDDDD" w:sz="1"/>
            </w:tcBorders>
            <w:shd w:fill="FCEBEB" w:val="clear"/>
            <w:tcMar>
              <w:top w:type="dxa" w:w="100"/>
              <w:left w:type="dxa" w:w="120"/>
              <w:bottom w:type="dxa" w:w="100"/>
              <w:right w:type="dxa" w:w="80"/>
            </w:tcMar>
          </w:tcPr>
          <w:p>
            <w:pPr>
              <w:spacing w:after="0" w:before="0"/>
            </w:pPr>
            <w:r>
              <w:rPr>
                <w:rFonts w:ascii="Arial" w:cs="Arial" w:eastAsia="Arial" w:hAnsi="Arial"/>
                <w:b/>
                <w:bCs/>
                <w:color w:val="791F1F"/>
                <w:sz w:val="24"/>
                <w:szCs w:val="24"/>
              </w:rPr>
              <w:t xml:space="preserve">L4</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t xml:space="preserve">Automation</w:t>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t xml:space="preserve">Synthesises signals across multiple systems and executes end-to-end workflows.</w:t>
            </w:r>
          </w:p>
        </w:tc>
      </w:tr>
      <w:tr>
        <w:tc>
          <w:tcPr>
            <w:tcW w:type="dxa" w:w="1400"/>
            <w:tcBorders>
              <w:top w:val="single" w:color="DDDDDD" w:sz="1"/>
              <w:left w:val="single" w:color="DDDDDD" w:sz="1"/>
              <w:bottom w:val="single" w:color="DDDDDD" w:sz="1"/>
              <w:right w:val="single" w:color="DDDDDD" w:sz="1"/>
            </w:tcBorders>
            <w:shd w:fill="F0E6FF" w:val="clear"/>
            <w:tcMar>
              <w:top w:type="dxa" w:w="100"/>
              <w:left w:type="dxa" w:w="120"/>
              <w:bottom w:type="dxa" w:w="100"/>
              <w:right w:type="dxa" w:w="80"/>
            </w:tcMar>
          </w:tcPr>
          <w:p>
            <w:pPr>
              <w:spacing w:after="0" w:before="0"/>
            </w:pPr>
            <w:r>
              <w:rPr>
                <w:rFonts w:ascii="Arial" w:cs="Arial" w:eastAsia="Arial" w:hAnsi="Arial"/>
                <w:b/>
                <w:bCs/>
                <w:color w:val="5A1880"/>
                <w:sz w:val="24"/>
                <w:szCs w:val="24"/>
              </w:rPr>
              <w:t xml:space="preserve">L5</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80"/>
            </w:tcMar>
          </w:tcPr>
          <w:p>
            <w:pPr>
              <w:spacing w:after="0" w:before="0"/>
            </w:pPr>
            <w:r>
              <w:rPr>
                <w:rFonts w:ascii="Arial" w:cs="Arial" w:eastAsia="Arial" w:hAnsi="Arial"/>
                <w:b/>
                <w:bCs/>
                <w:color w:val="022241"/>
                <w:sz w:val="20"/>
                <w:szCs w:val="20"/>
              </w:rPr>
              <w:t xml:space="preserve">AI Orchestration</w:t>
            </w:r>
          </w:p>
        </w:tc>
        <w:tc>
          <w:tcPr>
            <w:tcW w:type="dxa" w:w="61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spacing w:after="0" w:before="0"/>
            </w:pPr>
            <w:r>
              <w:rPr>
                <w:rFonts w:ascii="Arial" w:cs="Arial" w:eastAsia="Arial" w:hAnsi="Arial"/>
                <w:color w:val="30302E"/>
                <w:sz w:val="20"/>
                <w:szCs w:val="20"/>
              </w:rPr>
              <w:t xml:space="preserve">AI-driven autonomous orchestration — adaptive decisions, no predefined rules.</w:t>
            </w:r>
          </w:p>
        </w:tc>
      </w:tr>
    </w:tbl>
    <w:p>
      <w:r>
        <w:br w:type="page"/>
      </w:r>
    </w:p>
    <w:p>
      <w:pPr>
        <w:pStyle w:val="Heading1"/>
      </w:pPr>
      <w:r>
        <w:rPr>
          <w:rFonts w:ascii="Arial" w:cs="Arial" w:eastAsia="Arial" w:hAnsi="Arial"/>
        </w:rPr>
        <w:t xml:space="preserve">Fleet Federation &amp; Dispatch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HME-01  </w:t>
            </w:r>
            <w:r>
              <w:rPr>
                <w:rFonts w:ascii="Arial" w:cs="Arial" w:eastAsia="Arial" w:hAnsi="Arial"/>
                <w:b/>
                <w:bCs/>
                <w:color w:val="FFFFFF"/>
                <w:sz w:val="24"/>
                <w:szCs w:val="24"/>
              </w:rPr>
              <w:t xml:space="preserve">Multi-system telematics normalisation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Fleet Federation &amp; Dispatch</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HME – Heavy Mobile Equipment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Operations Manager / Mine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Surface mines run Cat VIMS, Komatsu KOMTRAX, Hitachi ConSite, Modular Mining, and OEM-specific portals — all siloed. No single view of the full fleet exists without manual reconciliation.</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normalises telemetry from all OEM and dispatch systems into one real-time operational view — one login regardless of OEM, telematics provider, or dispatch platform. 120+ connectors.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operations with mixed OEM fleets.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OPS-01, DSP-01, MNT-01</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Notes</w:t>
            </w:r>
          </w:p>
        </w:tc>
        <w:tc>
          <w:tcPr>
            <w:tcW w:type="dxa" w:w="7800"/>
            <w:tcBorders>
              <w:top w:val="single" w:color="DDDDDD" w:sz="1"/>
              <w:left w:val="single" w:color="DDDDDD" w:sz="1"/>
              <w:bottom w:val="single" w:color="DDDDDD" w:sz="1"/>
              <w:right w:val="single" w:color="DDDDDD" w:sz="1"/>
            </w:tcBorders>
            <w:shd w:fill="FFFDF0" w:val="clear"/>
            <w:tcMar>
              <w:top w:type="dxa" w:w="80"/>
              <w:left w:type="dxa" w:w="120"/>
              <w:bottom w:type="dxa" w:w="80"/>
              <w:right w:type="dxa" w:w="120"/>
            </w:tcMar>
          </w:tcPr>
          <w:p>
            <w:pPr>
              <w:spacing w:after="0" w:before="0"/>
            </w:pPr>
            <w:r>
              <w:rPr>
                <w:rFonts w:ascii="Arial" w:cs="Arial" w:eastAsia="Arial" w:hAnsi="Arial"/>
                <w:i/>
                <w:iCs/>
                <w:color w:val="5A5A3A"/>
                <w:sz w:val="18"/>
                <w:szCs w:val="18"/>
              </w:rPr>
              <w:t xml:space="preserve">Perspio connects 120+ OEM and telematics sources. New OEM or platform onboarded in days without disrupting existing operation.</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OPS-01  </w:t>
            </w:r>
            <w:r>
              <w:rPr>
                <w:rFonts w:ascii="Arial" w:cs="Arial" w:eastAsia="Arial" w:hAnsi="Arial"/>
                <w:b/>
                <w:bCs/>
                <w:color w:val="FFFFFF"/>
                <w:sz w:val="24"/>
                <w:szCs w:val="24"/>
              </w:rPr>
              <w:t xml:space="preserve">Single view across dispatch, maintenance &amp; OEM systems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Fleet Federation &amp; Dispatch</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3C3489"/>
                <w:sz w:val="20"/>
                <w:szCs w:val="20"/>
              </w:rPr>
              <w:t xml:space="preserve">OPS – Operations Manager / Mine Manager</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DSP – Dispatcher / Control Room</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Mine control rooms switch between dispatch, maintenance, and OEM fault systems to build the operational picture. The integrated view exists only in the operators's heads.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composes dispatch, maintenance, OEM machine health, and production data into a single configurable control-room dashboard, updated continuously.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and underground mining operations.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HME-01, DSP-01, HME-02</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DSP-01  </w:t>
            </w:r>
            <w:r>
              <w:rPr>
                <w:rFonts w:ascii="Arial" w:cs="Arial" w:eastAsia="Arial" w:hAnsi="Arial"/>
                <w:b/>
                <w:bCs/>
                <w:color w:val="FFFFFF"/>
                <w:sz w:val="24"/>
                <w:szCs w:val="24"/>
              </w:rPr>
              <w:t xml:space="preserve">Real-time fleet position and task allocation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Fleet Federation &amp; Dispatch</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DSP – Dispatcher / Control Room</w:t>
            </w:r>
            <w:r>
              <w:rPr>
                <w:rFonts w:ascii="Arial" w:cs="Arial" w:eastAsia="Arial" w:hAnsi="Arial"/>
                <w:color w:val="939598"/>
                <w:sz w:val="20"/>
                <w:szCs w:val="20"/>
              </w:rPr>
              <w:t xml:space="preserve">   ·   </w:t>
            </w:r>
            <w:r>
              <w:rPr>
                <w:rFonts w:ascii="Arial" w:cs="Arial" w:eastAsia="Arial" w:hAnsi="Arial"/>
                <w:b/>
                <w:bCs/>
                <w:color w:val="27500A"/>
                <w:sz w:val="20"/>
                <w:szCs w:val="20"/>
              </w:rPr>
              <w:t xml:space="preserve">HME – Heavy Mobile Equipment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Dispatchers allocate equipment manually using radio and positional data that is minutes old. Re-tasking after a breakdown ripples through the shift without data support.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provides a live, normalised view of every surface asset — position, status, task, and availability — enabling evidence-based allocation without radio relay.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operations with a dispatch function.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OPS-01, DSP-02, DSP-03</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DSP-02  </w:t>
            </w:r>
            <w:r>
              <w:rPr>
                <w:rFonts w:ascii="Arial" w:cs="Arial" w:eastAsia="Arial" w:hAnsi="Arial"/>
                <w:b/>
                <w:bCs/>
                <w:color w:val="FFFFFF"/>
                <w:sz w:val="24"/>
                <w:szCs w:val="24"/>
              </w:rPr>
              <w:t xml:space="preserve">Truck cycle time analysis and queue management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Fleet Federation &amp; Dispatch</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DSP – Dispatcher / Control Room</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Operations Manager / Mine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Load, haul, dump, and return cycle times are logged manually or not at all. Queuing at the dig face and dump point goes unmanaged until it affects shift production.</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measures actual cycle components per truck per shift, identifies queuing delays and dig face bottlenecks, and surfaces optimisation signals for dispatch intervention.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Surface mining operations running haul truck fleets on production cycles.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DSP-01, DSP-04, OPS-02</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DSP-03  </w:t>
            </w:r>
            <w:r>
              <w:rPr>
                <w:rFonts w:ascii="Arial" w:cs="Arial" w:eastAsia="Arial" w:hAnsi="Arial"/>
                <w:b/>
                <w:bCs/>
                <w:color w:val="FFFFFF"/>
                <w:sz w:val="24"/>
                <w:szCs w:val="24"/>
              </w:rPr>
              <w:t xml:space="preserve">Equipment availability write-back to dispatch system</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Fleet Federation &amp; Dispatch</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DSP – Dispatcher / Control Room</w:t>
            </w:r>
            <w:r>
              <w:rPr>
                <w:rFonts w:ascii="Arial" w:cs="Arial" w:eastAsia="Arial" w:hAnsi="Arial"/>
                <w:color w:val="939598"/>
                <w:sz w:val="20"/>
                <w:szCs w:val="20"/>
              </w:rPr>
              <w:t xml:space="preserve">   ·   </w:t>
            </w:r>
            <w:r>
              <w:rPr>
                <w:rFonts w:ascii="Arial" w:cs="Arial" w:eastAsia="Arial" w:hAnsi="Arial"/>
                <w:b/>
                <w:bCs/>
                <w:color w:val="27500A"/>
                <w:sz w:val="20"/>
                <w:szCs w:val="20"/>
              </w:rPr>
              <w:t xml:space="preserve">HME – Heavy Mobile Equipment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Equipment availability in the dispatch system does not reflect actual machine condition. Dispatchers allocate assets that are about to pull for service.</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feeds real-time equipment health and maintenance schedule signals into dispatch availability — allocation decisions based on ground truth, not system lag.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Surface mining operations where dispatch and maintenance systems run separately.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DSP-01, MNT-01, MNT-02</w:t>
            </w:r>
          </w:p>
        </w:tc>
      </w:tr>
    </w:tbl>
    <w:p>
      <w:pPr>
        <w:spacing w:after="0" w:before="240"/>
      </w:pPr>
    </w:p>
    <w:p>
      <w:pPr>
        <w:pStyle w:val="Heading1"/>
      </w:pPr>
      <w:r>
        <w:rPr>
          <w:rFonts w:ascii="Arial" w:cs="Arial" w:eastAsia="Arial" w:hAnsi="Arial"/>
        </w:rPr>
        <w:t xml:space="preserve">Production Intelligence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OPS-02  </w:t>
            </w:r>
            <w:r>
              <w:rPr>
                <w:rFonts w:ascii="Arial" w:cs="Arial" w:eastAsia="Arial" w:hAnsi="Arial"/>
                <w:b/>
                <w:bCs/>
                <w:color w:val="FFFFFF"/>
                <w:sz w:val="24"/>
                <w:szCs w:val="24"/>
              </w:rPr>
              <w:t xml:space="preserve">Shift production reporting — target vs actual</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Production Intelligence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3C3489"/>
                <w:sz w:val="20"/>
                <w:szCs w:val="20"/>
              </w:rPr>
              <w:t xml:space="preserve">OPS – Operations Manager / Mine Manager</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DSP – Dispatcher / Control Room</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End-of-shift production reports are assembled manually from dispatch, payload, and maintenance systems. By the time they are reviewed, the shift has finished.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auto-generates shift production summaries — tonnes moved, cycle counts, equipment hours, and variance to target — in real time, not retrospectively.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operations with shift-based production targets.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DSP-02, DSP-04, HME-02</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DSP-04  </w:t>
            </w:r>
            <w:r>
              <w:rPr>
                <w:rFonts w:ascii="Arial" w:cs="Arial" w:eastAsia="Arial" w:hAnsi="Arial"/>
                <w:b/>
                <w:bCs/>
                <w:color w:val="FFFFFF"/>
                <w:sz w:val="24"/>
                <w:szCs w:val="24"/>
              </w:rPr>
              <w:t xml:space="preserve">Payload monitoring and tonnes per shift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Production Intelligence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DSP – Dispatcher / Control Room</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Operations Manager / Mine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Payload data sits in the OEM system and is never integrated with dispatch or production targets. Overloading and underloading go unmanaged.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ingests payload data from OEM systems, aggregates tonnes per truck per shift, flags overloading events, and surfaces underloading patterns for dispatch coaching.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Surface mining operations with payload monitoring fitted to haul trucks.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DSP-02, OPS-02, MNT-04</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HME-02  </w:t>
            </w:r>
            <w:r>
              <w:rPr>
                <w:rFonts w:ascii="Arial" w:cs="Arial" w:eastAsia="Arial" w:hAnsi="Arial"/>
                <w:b/>
                <w:bCs/>
                <w:color w:val="FFFFFF"/>
                <w:sz w:val="24"/>
                <w:szCs w:val="24"/>
              </w:rPr>
              <w:t xml:space="preserve">Fleet utilisation and overall equipment effectiveness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Production Intelligence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HME – Heavy Mobile Equipment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Operations Manager / Mine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OEE is calculated at month-end from disparate sources. Utilisation losses are discovered weeks after they could have been addressed.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calculates operating time, standby, unscheduled delay, and scheduled maintenance ratios per asset in real time — surfacing losses as they occur.</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and underground mining operations.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OPS-01, OPS-02, MNT-01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OPS-03  </w:t>
            </w:r>
            <w:r>
              <w:rPr>
                <w:rFonts w:ascii="Arial" w:cs="Arial" w:eastAsia="Arial" w:hAnsi="Arial"/>
                <w:b/>
                <w:bCs/>
                <w:color w:val="FFFFFF"/>
                <w:sz w:val="24"/>
                <w:szCs w:val="24"/>
              </w:rPr>
              <w:t xml:space="preserve">Production cost per tonne by fleet and operator</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Production Intelligence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3C3489"/>
                <w:sz w:val="20"/>
                <w:szCs w:val="20"/>
              </w:rPr>
              <w:t xml:space="preserve">OPS – Operations Manager / Mine Manager</w:t>
            </w:r>
            <w:r>
              <w:rPr>
                <w:rFonts w:ascii="Arial" w:cs="Arial" w:eastAsia="Arial" w:hAnsi="Arial"/>
                <w:color w:val="939598"/>
                <w:sz w:val="20"/>
                <w:szCs w:val="20"/>
              </w:rPr>
              <w:t xml:space="preserve">   ·   </w:t>
            </w:r>
            <w:r>
              <w:rPr>
                <w:rFonts w:ascii="Arial" w:cs="Arial" w:eastAsia="Arial" w:hAnsi="Arial"/>
                <w:b/>
                <w:bCs/>
                <w:color w:val="633806"/>
                <w:sz w:val="20"/>
                <w:szCs w:val="20"/>
              </w:rPr>
              <w:t xml:space="preserve">FIN – Finance / Commercial</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Cost per tonne is a lagging financial metric with no operational granularity. Fleet managers cannot identify which assets, operators, or tasks are driving inefficiency.</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maps fuel, hours, payload, and maintenance costs to individual assets and operators — enabling cost-per-tonne analysis at the asset and task level.</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633806"/>
                <w:sz w:val="20"/>
                <w:szCs w:val="20"/>
              </w:rPr>
              <w:t xml:space="preserve">Coming Soon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Surface mining operations with cost-per-tonne reporting obligations.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FIN-01, HME-02, DSP-04</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OPS-04  </w:t>
            </w:r>
            <w:r>
              <w:rPr>
                <w:rFonts w:ascii="Arial" w:cs="Arial" w:eastAsia="Arial" w:hAnsi="Arial"/>
                <w:b/>
                <w:bCs/>
                <w:color w:val="FFFFFF"/>
                <w:sz w:val="24"/>
                <w:szCs w:val="24"/>
              </w:rPr>
              <w:t xml:space="preserve">ERP and production system write-back</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Production Intelligence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3C3489"/>
                <w:sz w:val="20"/>
                <w:szCs w:val="20"/>
              </w:rPr>
              <w:t xml:space="preserve">OPS – Operations Manager / Mine Manager</w:t>
            </w:r>
            <w:r>
              <w:rPr>
                <w:rFonts w:ascii="Arial" w:cs="Arial" w:eastAsia="Arial" w:hAnsi="Arial"/>
                <w:color w:val="939598"/>
                <w:sz w:val="20"/>
                <w:szCs w:val="20"/>
              </w:rPr>
              <w:t xml:space="preserve">   ·   </w:t>
            </w:r>
            <w:r>
              <w:rPr>
                <w:rFonts w:ascii="Arial" w:cs="Arial" w:eastAsia="Arial" w:hAnsi="Arial"/>
                <w:b/>
                <w:bCs/>
                <w:color w:val="633806"/>
                <w:sz w:val="20"/>
                <w:szCs w:val="20"/>
              </w:rPr>
              <w:t xml:space="preserve">FIN – Finance / Commercial</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Production actuals are entered manually into the ERP at shift end. Hours-old data drives planning, invoicing, and contractor billing decisions.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synthesises dispatch, payload, and machine hours data to auto-update production actuals in the ERP in real time — eliminating manual shift-end entry.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L4 – Automation</w:t>
            </w:r>
            <w:r>
              <w:rPr>
                <w:rFonts w:ascii="Arial" w:cs="Arial" w:eastAsia="Arial" w:hAnsi="Arial"/>
                <w:sz w:val="20"/>
                <w:szCs w:val="20"/>
              </w:rPr>
              <w:t xml:space="preserve">          </w:t>
            </w:r>
            <w:r>
              <w:rPr>
                <w:rFonts w:ascii="Arial" w:cs="Arial" w:eastAsia="Arial" w:hAnsi="Arial"/>
                <w:b/>
                <w:bCs/>
                <w:color w:val="633806"/>
                <w:sz w:val="20"/>
                <w:szCs w:val="20"/>
              </w:rPr>
              <w:t xml:space="preserve">Coming Soon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Tier-1 mining operators and contract miners with ERP-driven production reporting.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OPS-02, OPS-03, OPS-05</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Notes</w:t>
            </w:r>
          </w:p>
        </w:tc>
        <w:tc>
          <w:tcPr>
            <w:tcW w:type="dxa" w:w="7800"/>
            <w:tcBorders>
              <w:top w:val="single" w:color="DDDDDD" w:sz="1"/>
              <w:left w:val="single" w:color="DDDDDD" w:sz="1"/>
              <w:bottom w:val="single" w:color="DDDDDD" w:sz="1"/>
              <w:right w:val="single" w:color="DDDDDD" w:sz="1"/>
            </w:tcBorders>
            <w:shd w:fill="FFFDF0" w:val="clear"/>
            <w:tcMar>
              <w:top w:type="dxa" w:w="80"/>
              <w:left w:type="dxa" w:w="120"/>
              <w:bottom w:type="dxa" w:w="80"/>
              <w:right w:type="dxa" w:w="120"/>
            </w:tcMar>
          </w:tcPr>
          <w:p>
            <w:pPr>
              <w:spacing w:after="0" w:before="0"/>
            </w:pPr>
            <w:r>
              <w:rPr>
                <w:rFonts w:ascii="Arial" w:cs="Arial" w:eastAsia="Arial" w:hAnsi="Arial"/>
                <w:i/>
                <w:iCs/>
                <w:color w:val="5A5A3A"/>
                <w:sz w:val="18"/>
                <w:szCs w:val="18"/>
              </w:rPr>
              <w:t xml:space="preserve">Pure L4 differentiator. Equivalent to OPS-03 (logistics) and PLT-07 (construction).</w:t>
            </w:r>
          </w:p>
        </w:tc>
      </w:tr>
    </w:tbl>
    <w:p>
      <w:pPr>
        <w:spacing w:after="0" w:before="240"/>
      </w:pPr>
    </w:p>
    <w:p>
      <w:pPr>
        <w:pStyle w:val="Heading1"/>
      </w:pPr>
      <w:r>
        <w:rPr>
          <w:rFonts w:ascii="Arial" w:cs="Arial" w:eastAsia="Arial" w:hAnsi="Arial"/>
        </w:rPr>
        <w:t xml:space="preserve">Safety &amp; Exclusion Zones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HSE-01  </w:t>
            </w:r>
            <w:r>
              <w:rPr>
                <w:rFonts w:ascii="Arial" w:cs="Arial" w:eastAsia="Arial" w:hAnsi="Arial"/>
                <w:b/>
                <w:bCs/>
                <w:color w:val="FFFFFF"/>
                <w:sz w:val="24"/>
                <w:szCs w:val="24"/>
              </w:rPr>
              <w:t xml:space="preserve">Fatigue monitoring and hours-of-service compliance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Safety &amp; Exclusion Zones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HSE – Safety Superintendent</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DSP – Dispatcher / Control Room</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Operator fatigue is monitored inconsistently. Compliance relies on self-reporting and paper records assembled under audit pressure.</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monitors operator hours continuously across all assets, alerts supervision before fatigue thresholds are breached, and maintains an auditable compliance record.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mining operations. Jurisdiction-neutral — covers AU, US, Canadian, and international fatigue frameworks.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HSE-06, MNT-01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HSE-02  </w:t>
            </w:r>
            <w:r>
              <w:rPr>
                <w:rFonts w:ascii="Arial" w:cs="Arial" w:eastAsia="Arial" w:hAnsi="Arial"/>
                <w:b/>
                <w:bCs/>
                <w:color w:val="FFFFFF"/>
                <w:sz w:val="24"/>
                <w:szCs w:val="24"/>
              </w:rPr>
              <w:t xml:space="preserve">Proximity detection and collision avoidance integration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Safety &amp; Exclusion Zones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HSE – Safety Superintendent</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DSP – Dispatcher / Control Room</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Proximity detection systems from different OEMs log events independently. No unified near-miss record exists across the mixed fleet.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normalises proximity events from all detection systems into one fleet-wide safety record — enabling pattern analysis, toolbox talk evidence, and regulator reporting.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operations with mixed-OEM proximity detection.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HSE-06, HSE-05</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HSE-03  </w:t>
            </w:r>
            <w:r>
              <w:rPr>
                <w:rFonts w:ascii="Arial" w:cs="Arial" w:eastAsia="Arial" w:hAnsi="Arial"/>
                <w:b/>
                <w:bCs/>
                <w:color w:val="FFFFFF"/>
                <w:sz w:val="24"/>
                <w:szCs w:val="24"/>
              </w:rPr>
              <w:t xml:space="preserve">Blast exclusion zone enforcement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Safety &amp; Exclusion Zones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HSE – Safety Superintendent</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DSP – Dispatcher / Control Room</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Blast zones are enforced by radio and physical barriers. Personnel and equipment in the blast radius are tracked by headcount, not telemetry. Re-entry after clearance is undetected.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enforces blast exclusion geofences automatically — real-time clearance confirmation before blast authorisation, with a timestamped record for every asset and person.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operations with drill and blast activity.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HSE-06, ENV-02</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HSE-04  </w:t>
            </w:r>
            <w:r>
              <w:rPr>
                <w:rFonts w:ascii="Arial" w:cs="Arial" w:eastAsia="Arial" w:hAnsi="Arial"/>
                <w:b/>
                <w:bCs/>
                <w:color w:val="FFFFFF"/>
                <w:sz w:val="24"/>
                <w:szCs w:val="24"/>
              </w:rPr>
              <w:t xml:space="preserve">Site access, induction, and contractor authorisation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Safety &amp; Exclusion Zones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HSE – Safety Superintendent</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Operations Manager / Mine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Contractors and visitors enter site with varying induction currency. Physical gate checks are the only control point — non-compliant personnel access operational areas undetected.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integrates induction, authorisation, and competency records with site access telemetry — flagging unauthorised access and expired credentials in real time.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mining operations with contractor and visitor access.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HSE-07, HSE-06</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HSE-05  </w:t>
            </w:r>
            <w:r>
              <w:rPr>
                <w:rFonts w:ascii="Arial" w:cs="Arial" w:eastAsia="Arial" w:hAnsi="Arial"/>
                <w:b/>
                <w:bCs/>
                <w:color w:val="FFFFFF"/>
                <w:sz w:val="24"/>
                <w:szCs w:val="24"/>
              </w:rPr>
              <w:t xml:space="preserve">Speed zone compliance and haul road enforcement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Safety &amp; Exclusion Zones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HSE – Safety Superintendent</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DSP – Dispatcher / Control Room</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Speed exceedances on haul roads are logged per OEM system but never aggregated. High-risk operators and locations are invisible across the full fleet.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aggregates speed events across all assets and zones, scores by risk level, and routes exceptions to supervision — replacing per-system logs with fleet-wide intelligence.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operations with defined speed zones.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HSE-06, HSE-01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HSE-06  </w:t>
            </w:r>
            <w:r>
              <w:rPr>
                <w:rFonts w:ascii="Arial" w:cs="Arial" w:eastAsia="Arial" w:hAnsi="Arial"/>
                <w:b/>
                <w:bCs/>
                <w:color w:val="FFFFFF"/>
                <w:sz w:val="24"/>
                <w:szCs w:val="24"/>
              </w:rPr>
              <w:t xml:space="preserve">Legally defensible safety evidence management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Safety &amp; Exclusion Zones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HSE – Safety Superintendent</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Operations Manager / Mine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When a safety investigation occurs, reconstructing the operational picture across multiple systems is manual, high-risk, and frequently leaves evidence gaps.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maintains a continuous, timestamped record of all safety-relevant events — position, speed, proximity, fatigue, and access — ready for regulator review without manual reconstruction.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mining operations subject to WHS or equivalent legislation.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HSE-01, HSE-02, HSE-03</w:t>
            </w:r>
          </w:p>
        </w:tc>
      </w:tr>
    </w:tbl>
    <w:p>
      <w:pPr>
        <w:spacing w:after="0" w:before="240"/>
      </w:pPr>
    </w:p>
    <w:p>
      <w:pPr>
        <w:pStyle w:val="Heading1"/>
      </w:pPr>
      <w:r>
        <w:rPr>
          <w:rFonts w:ascii="Arial" w:cs="Arial" w:eastAsia="Arial" w:hAnsi="Arial"/>
        </w:rPr>
        <w:t xml:space="preserve">Maintenance &amp; Tyres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MNT-01  </w:t>
            </w:r>
            <w:r>
              <w:rPr>
                <w:rFonts w:ascii="Arial" w:cs="Arial" w:eastAsia="Arial" w:hAnsi="Arial"/>
                <w:b/>
                <w:bCs/>
                <w:color w:val="FFFFFF"/>
                <w:sz w:val="24"/>
                <w:szCs w:val="24"/>
              </w:rPr>
              <w:t xml:space="preserve">Condition and hours-based PM scheduling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Maintenance &amp; Tyres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MNT – Maintenance Superintendent</w:t>
            </w:r>
            <w:r>
              <w:rPr>
                <w:rFonts w:ascii="Arial" w:cs="Arial" w:eastAsia="Arial" w:hAnsi="Arial"/>
                <w:color w:val="939598"/>
                <w:sz w:val="20"/>
                <w:szCs w:val="20"/>
              </w:rPr>
              <w:t xml:space="preserve">   ·   </w:t>
            </w:r>
            <w:r>
              <w:rPr>
                <w:rFonts w:ascii="Arial" w:cs="Arial" w:eastAsia="Arial" w:hAnsi="Arial"/>
                <w:b/>
                <w:bCs/>
                <w:color w:val="27500A"/>
                <w:sz w:val="20"/>
                <w:szCs w:val="20"/>
              </w:rPr>
              <w:t xml:space="preserve">HME – Heavy Mobile Equipment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HME maintenance schedules run on hours or calendar — neither reflects actual operating condition, load cycle count, or cumulative stress.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triggers PM alerts from actual engine hours, fuel burn, payload cycles, and condition signals — service happens when the asset needs it for its specific duty cycle.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operations with owned or long-term contracted HME.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MNT-02, MNT-05, DSP-03</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Notes</w:t>
            </w:r>
          </w:p>
        </w:tc>
        <w:tc>
          <w:tcPr>
            <w:tcW w:type="dxa" w:w="7800"/>
            <w:tcBorders>
              <w:top w:val="single" w:color="DDDDDD" w:sz="1"/>
              <w:left w:val="single" w:color="DDDDDD" w:sz="1"/>
              <w:bottom w:val="single" w:color="DDDDDD" w:sz="1"/>
              <w:right w:val="single" w:color="DDDDDD" w:sz="1"/>
            </w:tcBorders>
            <w:shd w:fill="FFFDF0" w:val="clear"/>
            <w:tcMar>
              <w:top w:type="dxa" w:w="80"/>
              <w:left w:type="dxa" w:w="120"/>
              <w:bottom w:type="dxa" w:w="80"/>
              <w:right w:type="dxa" w:w="120"/>
            </w:tcMar>
          </w:tcPr>
          <w:p>
            <w:pPr>
              <w:spacing w:after="0" w:before="0"/>
            </w:pPr>
            <w:r>
              <w:rPr>
                <w:rFonts w:ascii="Arial" w:cs="Arial" w:eastAsia="Arial" w:hAnsi="Arial"/>
                <w:i/>
                <w:iCs/>
                <w:color w:val="5A5A3A"/>
                <w:sz w:val="18"/>
                <w:szCs w:val="18"/>
              </w:rPr>
              <w:t xml:space="preserve">Perspio can serve as standalone maintenance programme of record or integrate with existing CMMS.</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MNT-02  </w:t>
            </w:r>
            <w:r>
              <w:rPr>
                <w:rFonts w:ascii="Arial" w:cs="Arial" w:eastAsia="Arial" w:hAnsi="Arial"/>
                <w:b/>
                <w:bCs/>
                <w:color w:val="FFFFFF"/>
                <w:sz w:val="24"/>
                <w:szCs w:val="24"/>
              </w:rPr>
              <w:t xml:space="preserve">Breakdown prediction and prevention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Maintenance &amp; Tyres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MNT – Maintenance Superintendent</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DSP – Dispatcher / Control Room</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Unplanned breakdowns cascade across the shift — one asset off bench can halt loading and create queue failures across the fleet for hours.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surfaces early OEM fault signals and sensor anomalies to enable proactive intervention before failure pulls the asset off bench. $300 fix, not a $30,000 shift loss.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Highest value for fleet-critical assets where downtime has cascade production effects.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MNT-01, MNT-05</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MNT-03  </w:t>
            </w:r>
            <w:r>
              <w:rPr>
                <w:rFonts w:ascii="Arial" w:cs="Arial" w:eastAsia="Arial" w:hAnsi="Arial"/>
                <w:b/>
                <w:bCs/>
                <w:color w:val="FFFFFF"/>
                <w:sz w:val="24"/>
                <w:szCs w:val="24"/>
              </w:rPr>
              <w:t xml:space="preserve">Tyre management — pressure, temperature &amp; rotation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Maintenance &amp; Tyres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MNT – Maintenance Superintendent</w:t>
            </w:r>
            <w:r>
              <w:rPr>
                <w:rFonts w:ascii="Arial" w:cs="Arial" w:eastAsia="Arial" w:hAnsi="Arial"/>
                <w:color w:val="939598"/>
                <w:sz w:val="20"/>
                <w:szCs w:val="20"/>
              </w:rPr>
              <w:t xml:space="preserve">   ·   </w:t>
            </w:r>
            <w:r>
              <w:rPr>
                <w:rFonts w:ascii="Arial" w:cs="Arial" w:eastAsia="Arial" w:hAnsi="Arial"/>
                <w:b/>
                <w:bCs/>
                <w:color w:val="27500A"/>
                <w:sz w:val="20"/>
                <w:szCs w:val="20"/>
              </w:rPr>
              <w:t xml:space="preserve">HME – Heavy Mobile Equipment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Tyre cost is one of the largest variable maintenance expenses in surface mining. Pressure and temperature exceedances go unmonitored between manual checks, leading to premature failures.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integrates tyre pressure and temperature monitoring across the fleet, tracks cumulative load and heat stress per tyre, and triggers rotation and replacement alerts before costly failures.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operations with haul trucks. Critical for open cut coal and metalliferous operations.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MNT-01, MNT-04</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MNT-04  </w:t>
            </w:r>
            <w:r>
              <w:rPr>
                <w:rFonts w:ascii="Arial" w:cs="Arial" w:eastAsia="Arial" w:hAnsi="Arial"/>
                <w:b/>
                <w:bCs/>
                <w:color w:val="FFFFFF"/>
                <w:sz w:val="24"/>
                <w:szCs w:val="24"/>
              </w:rPr>
              <w:t xml:space="preserve">Component life and rebuild cycle tracking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Maintenance &amp; Tyres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MNT – Maintenance Superintendent</w:t>
            </w:r>
            <w:r>
              <w:rPr>
                <w:rFonts w:ascii="Arial" w:cs="Arial" w:eastAsia="Arial" w:hAnsi="Arial"/>
                <w:color w:val="939598"/>
                <w:sz w:val="20"/>
                <w:szCs w:val="20"/>
              </w:rPr>
              <w:t xml:space="preserve">   ·   </w:t>
            </w:r>
            <w:r>
              <w:rPr>
                <w:rFonts w:ascii="Arial" w:cs="Arial" w:eastAsia="Arial" w:hAnsi="Arial"/>
                <w:b/>
                <w:bCs/>
                <w:color w:val="633806"/>
                <w:sz w:val="20"/>
                <w:szCs w:val="20"/>
              </w:rPr>
              <w:t xml:space="preserve">FIN – Finance / Commercial</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Engine, transmission, and major component rebuild cycles are tracked in spreadsheets decoupled from actual operating hours and duty-cycle stress. Catastrophic failures result from missed rebuild windows.</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tracks cumulative operating stress against OEM component life models — surfacing rebuild triggers before catastrophic failure and enabling life extension programmes.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operations with major component rebuild obligations.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MNT-01, MNT-02</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MNT-05  </w:t>
            </w:r>
            <w:r>
              <w:rPr>
                <w:rFonts w:ascii="Arial" w:cs="Arial" w:eastAsia="Arial" w:hAnsi="Arial"/>
                <w:b/>
                <w:bCs/>
                <w:color w:val="FFFFFF"/>
                <w:sz w:val="24"/>
                <w:szCs w:val="24"/>
              </w:rPr>
              <w:t xml:space="preserve">CMMS work order automation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Maintenance &amp; Tyres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MNT – Maintenance Superintendent</w:t>
            </w:r>
            <w:r>
              <w:rPr>
                <w:rFonts w:ascii="Arial" w:cs="Arial" w:eastAsia="Arial" w:hAnsi="Arial"/>
                <w:color w:val="939598"/>
                <w:sz w:val="20"/>
                <w:szCs w:val="20"/>
              </w:rPr>
              <w:t xml:space="preserve">   ·   </w:t>
            </w:r>
            <w:r>
              <w:rPr>
                <w:rFonts w:ascii="Arial" w:cs="Arial" w:eastAsia="Arial" w:hAnsi="Arial"/>
                <w:b/>
                <w:bCs/>
                <w:color w:val="27500A"/>
                <w:sz w:val="20"/>
                <w:szCs w:val="20"/>
              </w:rPr>
              <w:t xml:space="preserve">HME – Heavy Mobile Equipment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Workshop planners manually create work orders from OEM fault alerts. High fault volume means the most critical work orders are the ones most likely to be missed.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ranks faults by failure-prediction relevance for the fleet's duty cycle and writes prioritised work orders directly into the CMMS — without manual planner input.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operations with a CMMS (Pronto, Maximo, SAP PM, or equivalent).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MNT-01, MNT-02</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Notes</w:t>
            </w:r>
          </w:p>
        </w:tc>
        <w:tc>
          <w:tcPr>
            <w:tcW w:type="dxa" w:w="7800"/>
            <w:tcBorders>
              <w:top w:val="single" w:color="DDDDDD" w:sz="1"/>
              <w:left w:val="single" w:color="DDDDDD" w:sz="1"/>
              <w:bottom w:val="single" w:color="DDDDDD" w:sz="1"/>
              <w:right w:val="single" w:color="DDDDDD" w:sz="1"/>
            </w:tcBorders>
            <w:shd w:fill="FFFDF0" w:val="clear"/>
            <w:tcMar>
              <w:top w:type="dxa" w:w="80"/>
              <w:left w:type="dxa" w:w="120"/>
              <w:bottom w:type="dxa" w:w="80"/>
              <w:right w:type="dxa" w:w="120"/>
            </w:tcMar>
          </w:tcPr>
          <w:p>
            <w:pPr>
              <w:spacing w:after="0" w:before="0"/>
            </w:pPr>
            <w:r>
              <w:rPr>
                <w:rFonts w:ascii="Arial" w:cs="Arial" w:eastAsia="Arial" w:hAnsi="Arial"/>
                <w:i/>
                <w:iCs/>
                <w:color w:val="5A5A3A"/>
                <w:sz w:val="18"/>
                <w:szCs w:val="18"/>
              </w:rPr>
              <w:t xml:space="preserve">Same capability as WRK-05 in the logistics library.</w:t>
            </w:r>
          </w:p>
        </w:tc>
      </w:tr>
    </w:tbl>
    <w:p>
      <w:pPr>
        <w:spacing w:after="0" w:before="240"/>
      </w:pPr>
    </w:p>
    <w:p>
      <w:pPr>
        <w:pStyle w:val="Heading1"/>
      </w:pPr>
      <w:r>
        <w:rPr>
          <w:rFonts w:ascii="Arial" w:cs="Arial" w:eastAsia="Arial" w:hAnsi="Arial"/>
        </w:rPr>
        <w:t xml:space="preserve">Fuel &amp; Energy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FIN-01  </w:t>
            </w:r>
            <w:r>
              <w:rPr>
                <w:rFonts w:ascii="Arial" w:cs="Arial" w:eastAsia="Arial" w:hAnsi="Arial"/>
                <w:b/>
                <w:bCs/>
                <w:color w:val="FFFFFF"/>
                <w:sz w:val="24"/>
                <w:szCs w:val="24"/>
              </w:rPr>
              <w:t xml:space="preserve">Fuel consumption by asset, operator, and task</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Fuel &amp; Energy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FIN – Finance / Commercial</w:t>
            </w:r>
            <w:r>
              <w:rPr>
                <w:rFonts w:ascii="Arial" w:cs="Arial" w:eastAsia="Arial" w:hAnsi="Arial"/>
                <w:color w:val="939598"/>
                <w:sz w:val="20"/>
                <w:szCs w:val="20"/>
              </w:rPr>
              <w:t xml:space="preserve">   ·   </w:t>
            </w:r>
            <w:r>
              <w:rPr>
                <w:rFonts w:ascii="Arial" w:cs="Arial" w:eastAsia="Arial" w:hAnsi="Arial"/>
                <w:b/>
                <w:bCs/>
                <w:color w:val="27500A"/>
                <w:sz w:val="20"/>
                <w:szCs w:val="20"/>
              </w:rPr>
              <w:t xml:space="preserve">HME – Heavy Mobile Equipment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Fuel is one of the largest operating costs in surface mining and the hardest to allocate. Cost is tracked at the site level — not by asset, operator, or production task.</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allocates actual fuel consumption to individual assets, operators, and production tasks — enabling cost-per-tonne fuel analysis and targeted efficiency programmes.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Critical for contract mining where fuel is a pass-through cost requiring evidence.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FIN-02, FIN-03, OPS-03</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FIN-02  </w:t>
            </w:r>
            <w:r>
              <w:rPr>
                <w:rFonts w:ascii="Arial" w:cs="Arial" w:eastAsia="Arial" w:hAnsi="Arial"/>
                <w:b/>
                <w:bCs/>
                <w:color w:val="FFFFFF"/>
                <w:sz w:val="24"/>
                <w:szCs w:val="24"/>
              </w:rPr>
              <w:t xml:space="preserve">Fuel tax credit recovery (off-road diesel)</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Fuel &amp; Energy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FIN – Finance / Commercial</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Off-road diesel consumption at mine sites is estimated rather than measured at the asset level — FTC claims are understated and audit-exposed.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tracks actual fuel consumption per asset and verifies off-road usage — producing an asset-level FTC record defensible at audit.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Australian mining operations. FTC rate $0.488/L eligible uses as of July 2025.</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FIN-01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FIN-03  </w:t>
            </w:r>
            <w:r>
              <w:rPr>
                <w:rFonts w:ascii="Arial" w:cs="Arial" w:eastAsia="Arial" w:hAnsi="Arial"/>
                <w:b/>
                <w:bCs/>
                <w:color w:val="FFFFFF"/>
                <w:sz w:val="24"/>
                <w:szCs w:val="24"/>
              </w:rPr>
              <w:t xml:space="preserve">Fuel theft and misfuelling detection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Fuel &amp; Energy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FIN – Finance / Commercial</w:t>
            </w:r>
            <w:r>
              <w:rPr>
                <w:rFonts w:ascii="Arial" w:cs="Arial" w:eastAsia="Arial" w:hAnsi="Arial"/>
                <w:color w:val="939598"/>
                <w:sz w:val="20"/>
                <w:szCs w:val="20"/>
              </w:rPr>
              <w:t xml:space="preserve">   ·   </w:t>
            </w:r>
            <w:r>
              <w:rPr>
                <w:rFonts w:ascii="Arial" w:cs="Arial" w:eastAsia="Arial" w:hAnsi="Arial"/>
                <w:b/>
                <w:bCs/>
                <w:color w:val="5F5E5A"/>
                <w:sz w:val="20"/>
                <w:szCs w:val="20"/>
              </w:rPr>
              <w:t xml:space="preserve">MNT – Maintenance Superintendent</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Fuel theft and misfuelling at site refuelling points go undetected. Reconciliation at month-end surfaces the variance long after the opportunity to act.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reconciles fuel delivered against asset consumption records in real time — flagging discrepancies at the event, not the month.</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mining operations with site fuel management.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FIN-01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FIN-04  </w:t>
            </w:r>
            <w:r>
              <w:rPr>
                <w:rFonts w:ascii="Arial" w:cs="Arial" w:eastAsia="Arial" w:hAnsi="Arial"/>
                <w:b/>
                <w:bCs/>
                <w:color w:val="FFFFFF"/>
                <w:sz w:val="24"/>
                <w:szCs w:val="24"/>
              </w:rPr>
              <w:t xml:space="preserve">Ancillary asset idle detection and shutdown direction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Fuel &amp; Energy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DSP – Dispatcher / Control Room</w:t>
            </w:r>
            <w:r>
              <w:rPr>
                <w:rFonts w:ascii="Arial" w:cs="Arial" w:eastAsia="Arial" w:hAnsi="Arial"/>
                <w:color w:val="939598"/>
                <w:sz w:val="20"/>
                <w:szCs w:val="20"/>
              </w:rPr>
              <w:t xml:space="preserve">   ·   </w:t>
            </w:r>
            <w:r>
              <w:rPr>
                <w:rFonts w:ascii="Arial" w:cs="Arial" w:eastAsia="Arial" w:hAnsi="Arial"/>
                <w:b/>
                <w:bCs/>
                <w:color w:val="633806"/>
                <w:sz w:val="20"/>
                <w:szCs w:val="20"/>
              </w:rPr>
              <w:t xml:space="preserve">FIN – Finance / Commercial</w:t>
            </w:r>
            <w:r>
              <w:rPr>
                <w:rFonts w:ascii="Arial" w:cs="Arial" w:eastAsia="Arial" w:hAnsi="Arial"/>
                <w:i/>
                <w:iCs/>
                <w:color w:val="939598"/>
                <w:sz w:val="18"/>
                <w:szCs w:val="18"/>
              </w:rPr>
              <w:t xml:space="preserve"> (secondary)</w:t>
            </w:r>
            <w:r>
              <w:rPr>
                <w:rFonts w:ascii="Arial" w:cs="Arial" w:eastAsia="Arial" w:hAnsi="Arial"/>
                <w:color w:val="939598"/>
                <w:sz w:val="20"/>
                <w:szCs w:val="20"/>
              </w:rPr>
              <w:t xml:space="preserve">   ·   </w:t>
            </w:r>
            <w:r>
              <w:rPr>
                <w:rFonts w:ascii="Arial" w:cs="Arial" w:eastAsia="Arial" w:hAnsi="Arial"/>
                <w:b/>
                <w:bCs/>
                <w:color w:val="27500A"/>
                <w:sz w:val="20"/>
                <w:szCs w:val="20"/>
              </w:rPr>
              <w:t xml:space="preserve">HME – Heavy Mobile Equipment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Lighting towers, generators, and auxiliary equipment left running after night shift waste significant fuel and shorten equipment life. There is no systematic check — the site supervisor does a manual walkround or relies on operators to report.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Each morning, Perspio identifies ancillary assets still running beyond their operational window, alerts the site supervisor with a list, locations, and run-time, and directs targeted shutdown. Through equipment hire customers, Perspio surfaces idle auxiliary assets that the hire company's own systems cannot see in operational context.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surface mining and construction sites with hired or owned auxiliary equipment including lighting towers, generators, water pumps, and compressors.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FIN-01, FIN-03</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Notes</w:t>
            </w:r>
          </w:p>
        </w:tc>
        <w:tc>
          <w:tcPr>
            <w:tcW w:type="dxa" w:w="7800"/>
            <w:tcBorders>
              <w:top w:val="single" w:color="DDDDDD" w:sz="1"/>
              <w:left w:val="single" w:color="DDDDDD" w:sz="1"/>
              <w:bottom w:val="single" w:color="DDDDDD" w:sz="1"/>
              <w:right w:val="single" w:color="DDDDDD" w:sz="1"/>
            </w:tcBorders>
            <w:shd w:fill="FFFDF0" w:val="clear"/>
            <w:tcMar>
              <w:top w:type="dxa" w:w="80"/>
              <w:left w:type="dxa" w:w="120"/>
              <w:bottom w:type="dxa" w:w="80"/>
              <w:right w:type="dxa" w:w="120"/>
            </w:tcMar>
          </w:tcPr>
          <w:p>
            <w:pPr>
              <w:spacing w:after="0" w:before="0"/>
            </w:pPr>
            <w:r>
              <w:rPr>
                <w:rFonts w:ascii="Arial" w:cs="Arial" w:eastAsia="Arial" w:hAnsi="Arial"/>
                <w:i/>
                <w:iCs/>
                <w:color w:val="5A5A3A"/>
                <w:sz w:val="18"/>
                <w:szCs w:val="18"/>
              </w:rPr>
              <w:t xml:space="preserve">L3 (auto-shutdown via smart controls) is technically possible but operationally unlikely in most mine site contexts. L2 direction-to-action is the practical implementation.</w:t>
            </w:r>
          </w:p>
        </w:tc>
      </w:tr>
    </w:tbl>
    <w:p>
      <w:pPr>
        <w:spacing w:after="0" w:before="240"/>
      </w:pPr>
    </w:p>
    <w:p>
      <w:pPr>
        <w:pStyle w:val="Heading1"/>
      </w:pPr>
      <w:r>
        <w:rPr>
          <w:rFonts w:ascii="Arial" w:cs="Arial" w:eastAsia="Arial" w:hAnsi="Arial"/>
        </w:rPr>
        <w:t xml:space="preserve">Environmental &amp;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ENV-01  </w:t>
            </w:r>
            <w:r>
              <w:rPr>
                <w:rFonts w:ascii="Arial" w:cs="Arial" w:eastAsia="Arial" w:hAnsi="Arial"/>
                <w:b/>
                <w:bCs/>
                <w:color w:val="FFFFFF"/>
                <w:sz w:val="24"/>
                <w:szCs w:val="24"/>
              </w:rPr>
              <w:t xml:space="preserve">Dust monitoring and suppression trigger automation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Environmental &amp; Compliance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85041"/>
                <w:sz w:val="20"/>
                <w:szCs w:val="20"/>
              </w:rPr>
              <w:t xml:space="preserve">ENV – Environment &amp; Compliance Manager</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DSP – Dispatcher / Control Room</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Dust suppression is scheduled rather than condition-triggered. Water carts run fixed routes regardless of actual dust generation or wind direction, wasting water.</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correlates equipment activity, wind, and dust sensor data to trigger water cart deployment where and when it is needed.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Surface mining with dust management obligations near residential or ecological areas.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ENV-03</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ENV-02  </w:t>
            </w:r>
            <w:r>
              <w:rPr>
                <w:rFonts w:ascii="Arial" w:cs="Arial" w:eastAsia="Arial" w:hAnsi="Arial"/>
                <w:b/>
                <w:bCs/>
                <w:color w:val="FFFFFF"/>
                <w:sz w:val="24"/>
                <w:szCs w:val="24"/>
              </w:rPr>
              <w:t xml:space="preserve">Blast monitoring — vibration, overpressure &amp; exclusion evidence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Environmental &amp; Compliance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85041"/>
                <w:sz w:val="20"/>
                <w:szCs w:val="20"/>
              </w:rPr>
              <w:t xml:space="preserve">ENV – Environment &amp; Compliance Manager</w:t>
            </w:r>
            <w:r>
              <w:rPr>
                <w:rFonts w:ascii="Arial" w:cs="Arial" w:eastAsia="Arial" w:hAnsi="Arial"/>
                <w:color w:val="939598"/>
                <w:sz w:val="20"/>
                <w:szCs w:val="20"/>
              </w:rPr>
              <w:t xml:space="preserve">   ·   </w:t>
            </w:r>
            <w:r>
              <w:rPr>
                <w:rFonts w:ascii="Arial" w:cs="Arial" w:eastAsia="Arial" w:hAnsi="Arial"/>
                <w:b/>
                <w:bCs/>
                <w:color w:val="791F1F"/>
                <w:sz w:val="20"/>
                <w:szCs w:val="20"/>
              </w:rPr>
              <w:t xml:space="preserve">HSE – Safety Superintendent</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Blast events generate reporting obligations for vibration, air overpressure, and exclusion compliance. Evidence assembly is manual and retrospective.</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integrates blast monitoring sensors with exclusion zone telemetry to auto-generate a defensible blast compliance record — vibration, overpressure, and zone clearance in one report.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mining operations with drill and blast subject to vibration and overpressure reporting.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HSE-03, ENV-03</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ENV-03  </w:t>
            </w:r>
            <w:r>
              <w:rPr>
                <w:rFonts w:ascii="Arial" w:cs="Arial" w:eastAsia="Arial" w:hAnsi="Arial"/>
                <w:b/>
                <w:bCs/>
                <w:color w:val="FFFFFF"/>
                <w:sz w:val="24"/>
                <w:szCs w:val="24"/>
              </w:rPr>
              <w:t xml:space="preserve">Regulatory evidence management and audit-ready reporting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Environmental &amp; Compliance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85041"/>
                <w:sz w:val="20"/>
                <w:szCs w:val="20"/>
              </w:rPr>
              <w:t xml:space="preserve">ENV – Environment &amp; Compliance Manager</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Operations Manager / Mine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Environmental compliance evidence spans dust, noise, water, and blast systems. Assembling it for regulator review is manual, time-consuming, and high-risk.</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maintains a continuously updated compliance record across all monitoring streams — ready for regulator review without manual assembly.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mining operations subject to environmental licence conditions.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ENV-01, ENV-02</w:t>
            </w:r>
          </w:p>
        </w:tc>
      </w:tr>
    </w:tbl>
    <w:p>
      <w:pPr>
        <w:spacing w:after="0" w:before="240"/>
      </w:pPr>
    </w:p>
    <w:p>
      <w:pPr>
        <w:pStyle w:val="Heading1"/>
      </w:pPr>
      <w:r>
        <w:rPr>
          <w:rFonts w:ascii="Arial" w:cs="Arial" w:eastAsia="Arial" w:hAnsi="Arial"/>
        </w:rPr>
        <w:t xml:space="preserve">Contractor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OPS-05  </w:t>
            </w:r>
            <w:r>
              <w:rPr>
                <w:rFonts w:ascii="Arial" w:cs="Arial" w:eastAsia="Arial" w:hAnsi="Arial"/>
                <w:b/>
                <w:bCs/>
                <w:color w:val="FFFFFF"/>
                <w:sz w:val="24"/>
                <w:szCs w:val="24"/>
              </w:rPr>
              <w:t xml:space="preserve">Contractor equipment visibility and hour verification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Contractor Management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3C3489"/>
                <w:sz w:val="20"/>
                <w:szCs w:val="20"/>
              </w:rPr>
              <w:t xml:space="preserve">OPS – Operations Manager / Mine Manager</w:t>
            </w:r>
            <w:r>
              <w:rPr>
                <w:rFonts w:ascii="Arial" w:cs="Arial" w:eastAsia="Arial" w:hAnsi="Arial"/>
                <w:color w:val="939598"/>
                <w:sz w:val="20"/>
                <w:szCs w:val="20"/>
              </w:rPr>
              <w:t xml:space="preserve">   ·   </w:t>
            </w:r>
            <w:r>
              <w:rPr>
                <w:rFonts w:ascii="Arial" w:cs="Arial" w:eastAsia="Arial" w:hAnsi="Arial"/>
                <w:b/>
                <w:bCs/>
                <w:color w:val="633806"/>
                <w:sz w:val="20"/>
                <w:szCs w:val="20"/>
              </w:rPr>
              <w:t xml:space="preserve">FIN – Finance / Commercial</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Contract mining fleets operate with their own telematics. The principal has no live visibility and invoices are based on self-reported hours that cannot be challenged.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extends operational visibility to contractor equipment and matches claimed hours against asset telemetry — surfacing discrepancies before invoice approval.</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Mining operations using contract mining or equipment hire with operator.</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FIN-04, HSE-07, OPS-04</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FIN-05  </w:t>
            </w:r>
            <w:r>
              <w:rPr>
                <w:rFonts w:ascii="Arial" w:cs="Arial" w:eastAsia="Arial" w:hAnsi="Arial"/>
                <w:b/>
                <w:bCs/>
                <w:color w:val="FFFFFF"/>
                <w:sz w:val="24"/>
                <w:szCs w:val="24"/>
              </w:rPr>
              <w:t xml:space="preserve">OEM field service and contractor invoice verification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Contractor Management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FIN – Finance / Commercial</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Operations Manager / Mine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OEM field service visits and contractor mobilisation are invoiced against scheduled activities that may differ from what actually occurred on site.</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provides machine-data records of OEM and contractor activity — verifying work performed, hours on site, and assets serviced against invoiced scope.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mining operations using OEM field service contracts or third-party maintenance contractors.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OPS-05, MNT-01</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HSE-07  </w:t>
            </w:r>
            <w:r>
              <w:rPr>
                <w:rFonts w:ascii="Arial" w:cs="Arial" w:eastAsia="Arial" w:hAnsi="Arial"/>
                <w:b/>
                <w:bCs/>
                <w:color w:val="FFFFFF"/>
                <w:sz w:val="24"/>
                <w:szCs w:val="24"/>
              </w:rPr>
              <w:t xml:space="preserve">Contractor safety induction and compliance tracking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Contractor Management</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HSE – Safety Superintendent</w:t>
            </w:r>
            <w:r>
              <w:rPr>
                <w:rFonts w:ascii="Arial" w:cs="Arial" w:eastAsia="Arial" w:hAnsi="Arial"/>
                <w:color w:val="939598"/>
                <w:sz w:val="20"/>
                <w:szCs w:val="20"/>
              </w:rPr>
              <w:t xml:space="preserve">   ·   </w:t>
            </w:r>
            <w:r>
              <w:rPr>
                <w:rFonts w:ascii="Arial" w:cs="Arial" w:eastAsia="Arial" w:hAnsi="Arial"/>
                <w:b/>
                <w:bCs/>
                <w:color w:val="3C3489"/>
                <w:sz w:val="20"/>
                <w:szCs w:val="20"/>
              </w:rPr>
              <w:t xml:space="preserve">OPS – Operations Manager / Mine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Contractor induction currency and competency requirements are tracked on spreadsheets. Non-compliant personnel access operational areas undetected.</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integrates competency and induction records with site access telemetry — preventing non-compliant contractor personnel from entering operational areas.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mining operations with significant contractor workforce.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HSE-04, OPS-05</w:t>
            </w:r>
          </w:p>
        </w:tc>
      </w:tr>
    </w:tbl>
    <w:p>
      <w:pPr>
        <w:spacing w:after="0" w:before="240"/>
      </w:pPr>
    </w:p>
    <w:p>
      <w:pPr>
        <w:pStyle w:val="Heading1"/>
      </w:pPr>
      <w:r>
        <w:rPr>
          <w:rFonts w:ascii="Arial" w:cs="Arial" w:eastAsia="Arial" w:hAnsi="Arial"/>
        </w:rPr>
        <w:t xml:space="preserve">Underground Operations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HSE-08  </w:t>
            </w:r>
            <w:r>
              <w:rPr>
                <w:rFonts w:ascii="Arial" w:cs="Arial" w:eastAsia="Arial" w:hAnsi="Arial"/>
                <w:b/>
                <w:bCs/>
                <w:color w:val="FFFFFF"/>
                <w:sz w:val="24"/>
                <w:szCs w:val="24"/>
              </w:rPr>
              <w:t xml:space="preserve">Personnel tracking in underground environments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Underground Operations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HSE – Safety Superintendent</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DSP – Dispatcher / Control Room</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Underground personnel locations are tracked by last-known crib room or radio check. In an emergency, evacuation status is unknown until physical mustering.</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integrates underground tracking systems to provide a live headcount by zone — enabling real-time evacuation status and directed rescue without manual mustering.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0C447C"/>
                <w:sz w:val="20"/>
                <w:szCs w:val="20"/>
              </w:rPr>
              <w:t xml:space="preserve">L1 – Visibility</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All underground mining operations.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HSE-09, HSE-10</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HSE-09  </w:t>
            </w:r>
            <w:r>
              <w:rPr>
                <w:rFonts w:ascii="Arial" w:cs="Arial" w:eastAsia="Arial" w:hAnsi="Arial"/>
                <w:b/>
                <w:bCs/>
                <w:color w:val="FFFFFF"/>
                <w:sz w:val="24"/>
                <w:szCs w:val="24"/>
              </w:rPr>
              <w:t xml:space="preserve">Ventilation on demand — air quality and personnel location</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Underground Operations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HSE – Safety Superintendent</w:t>
            </w:r>
            <w:r>
              <w:rPr>
                <w:rFonts w:ascii="Arial" w:cs="Arial" w:eastAsia="Arial" w:hAnsi="Arial"/>
                <w:color w:val="939598"/>
                <w:sz w:val="20"/>
                <w:szCs w:val="20"/>
              </w:rPr>
              <w:t xml:space="preserve">   ·   </w:t>
            </w:r>
            <w:r>
              <w:rPr>
                <w:rFonts w:ascii="Arial" w:cs="Arial" w:eastAsia="Arial" w:hAnsi="Arial"/>
                <w:b/>
                <w:bCs/>
                <w:color w:val="085041"/>
                <w:sz w:val="20"/>
                <w:szCs w:val="20"/>
              </w:rPr>
              <w:t xml:space="preserve">ENV – Environment &amp; Compliance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Underground ventilation runs on fixed schedules regardless of where personnel and equipment are. Energy cost is high and air quality near active faces is inconsistent.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correlates personnel and equipment location with air quality data to trigger ventilation where it is needed — reducing energy cost and improving face conditions.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633806"/>
                <w:sz w:val="20"/>
                <w:szCs w:val="20"/>
              </w:rPr>
              <w:t xml:space="preserve">L3 – Control</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Underground mining with controllable ventilation infrastructure and personnel tracking.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HSE-08, HSE-10</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HSE-10  </w:t>
            </w:r>
            <w:r>
              <w:rPr>
                <w:rFonts w:ascii="Arial" w:cs="Arial" w:eastAsia="Arial" w:hAnsi="Arial"/>
                <w:b/>
                <w:bCs/>
                <w:color w:val="FFFFFF"/>
                <w:sz w:val="24"/>
                <w:szCs w:val="24"/>
              </w:rPr>
              <w:t xml:space="preserve">Gas monitoring and emergency response triggers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Underground Operations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HSE – Safety Superintendent</w:t>
            </w:r>
            <w:r>
              <w:rPr>
                <w:rFonts w:ascii="Arial" w:cs="Arial" w:eastAsia="Arial" w:hAnsi="Arial"/>
                <w:color w:val="939598"/>
                <w:sz w:val="20"/>
                <w:szCs w:val="20"/>
              </w:rPr>
              <w:t xml:space="preserve">   ·   </w:t>
            </w:r>
            <w:r>
              <w:rPr>
                <w:rFonts w:ascii="Arial" w:cs="Arial" w:eastAsia="Arial" w:hAnsi="Arial"/>
                <w:b/>
                <w:bCs/>
                <w:color w:val="0C447C"/>
                <w:sz w:val="20"/>
                <w:szCs w:val="20"/>
              </w:rPr>
              <w:t xml:space="preserve">DSP – Dispatcher / Control Room</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Underground gas monitoring alerts locally. Integration with surface control, personnel tracking, and emergency protocols is manual — critical seconds are lost.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integrates gas sensor alerts with personnel location and surface control to automatically trigger the appropriate emergency response protocol for the affected zone.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791F1F"/>
                <w:sz w:val="20"/>
                <w:szCs w:val="20"/>
              </w:rPr>
              <w:t xml:space="preserve">L4 – Automation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Underground mining operations with gas monitoring obligations.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HSE-08, HSE-09</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Notes</w:t>
            </w:r>
          </w:p>
        </w:tc>
        <w:tc>
          <w:tcPr>
            <w:tcW w:type="dxa" w:w="7800"/>
            <w:tcBorders>
              <w:top w:val="single" w:color="DDDDDD" w:sz="1"/>
              <w:left w:val="single" w:color="DDDDDD" w:sz="1"/>
              <w:bottom w:val="single" w:color="DDDDDD" w:sz="1"/>
              <w:right w:val="single" w:color="DDDDDD" w:sz="1"/>
            </w:tcBorders>
            <w:shd w:fill="FFFDF0" w:val="clear"/>
            <w:tcMar>
              <w:top w:type="dxa" w:w="80"/>
              <w:left w:type="dxa" w:w="120"/>
              <w:bottom w:type="dxa" w:w="80"/>
              <w:right w:type="dxa" w:w="120"/>
            </w:tcMar>
          </w:tcPr>
          <w:p>
            <w:pPr>
              <w:spacing w:after="0" w:before="0"/>
            </w:pPr>
            <w:r>
              <w:rPr>
                <w:rFonts w:ascii="Arial" w:cs="Arial" w:eastAsia="Arial" w:hAnsi="Arial"/>
                <w:i/>
                <w:iCs/>
                <w:color w:val="5A5A3A"/>
                <w:sz w:val="18"/>
                <w:szCs w:val="18"/>
              </w:rPr>
              <w:t xml:space="preserve">L4: autonomous emergency protocol triggering from multi-system signal synthesis.</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c>
          <w:tcPr>
            <w:tcW w:type="dxa" w:w="9360"/>
            <w:gridSpan w:val="2"/>
            <w:tcBorders>
              <w:top w:val="single" w:color="DDDDDD" w:sz="1"/>
              <w:left w:val="single" w:color="DDDDDD" w:sz="1"/>
              <w:bottom w:val="single" w:color="DDDDDD" w:sz="1"/>
              <w:right w:val="single" w:color="DDDDDD" w:sz="1"/>
            </w:tcBorders>
            <w:shd w:fill="022241" w:val="clear"/>
            <w:tcMar>
              <w:top w:type="dxa" w:w="110"/>
              <w:left w:type="dxa" w:w="140"/>
              <w:bottom w:type="dxa" w:w="110"/>
              <w:right w:type="dxa" w:w="140"/>
            </w:tcMar>
          </w:tcPr>
          <w:p>
            <w:pPr>
              <w:spacing w:after="0" w:before="0"/>
            </w:pPr>
            <w:r>
              <w:rPr>
                <w:rFonts w:ascii="Arial" w:cs="Arial" w:eastAsia="Arial" w:hAnsi="Arial"/>
                <w:b/>
                <w:bCs/>
                <w:color w:val="6AC2FC"/>
                <w:sz w:val="24"/>
                <w:szCs w:val="24"/>
              </w:rPr>
              <w:t xml:space="preserve">MNT-06  </w:t>
            </w:r>
            <w:r>
              <w:rPr>
                <w:rFonts w:ascii="Arial" w:cs="Arial" w:eastAsia="Arial" w:hAnsi="Arial"/>
                <w:b/>
                <w:bCs/>
                <w:color w:val="FFFFFF"/>
                <w:sz w:val="24"/>
                <w:szCs w:val="24"/>
              </w:rPr>
              <w:t xml:space="preserve">Underground equipment tracking and maintenance scheduling</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Domain</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Underground Operations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Role(s)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5F5E5A"/>
                <w:sz w:val="20"/>
                <w:szCs w:val="20"/>
              </w:rPr>
              <w:t xml:space="preserve">MNT – Maintenance Superintendent</w:t>
            </w:r>
            <w:r>
              <w:rPr>
                <w:rFonts w:ascii="Arial" w:cs="Arial" w:eastAsia="Arial" w:hAnsi="Arial"/>
                <w:color w:val="939598"/>
                <w:sz w:val="20"/>
                <w:szCs w:val="20"/>
              </w:rPr>
              <w:t xml:space="preserve">   ·   </w:t>
            </w:r>
            <w:r>
              <w:rPr>
                <w:rFonts w:ascii="Arial" w:cs="Arial" w:eastAsia="Arial" w:hAnsi="Arial"/>
                <w:b/>
                <w:bCs/>
                <w:color w:val="27500A"/>
                <w:sz w:val="20"/>
                <w:szCs w:val="20"/>
              </w:rPr>
              <w:t xml:space="preserve">HME – Heavy Mobile Equipment Manager</w:t>
            </w:r>
            <w:r>
              <w:rPr>
                <w:rFonts w:ascii="Arial" w:cs="Arial" w:eastAsia="Arial" w:hAnsi="Arial"/>
                <w:i/>
                <w:iCs/>
                <w:color w:val="939598"/>
                <w:sz w:val="18"/>
                <w:szCs w:val="18"/>
              </w:rPr>
              <w:t xml:space="preserve"> (secondary)</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Problem statement</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Underground equipment records are decoupled from the surface programme. A single maintenance schedule covering the full mixed fleet does not exist.</w:t>
            </w:r>
          </w:p>
        </w:tc>
      </w:tr>
      <w:tr>
        <w:tc>
          <w:tcPr>
            <w:tcW w:type="dxa" w:w="1560"/>
            <w:tcBorders>
              <w:top w:val="single" w:color="DDDDDD" w:sz="1"/>
              <w:left w:val="single" w:color="DDDDDD" w:sz="1"/>
              <w:bottom w:val="single" w:color="DDDDDD" w:sz="1"/>
              <w:right w:val="single" w:color="DDDDDD" w:sz="1"/>
            </w:tcBorders>
            <w:shd w:fill="E8F4E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Perspio solution</w:t>
            </w:r>
          </w:p>
        </w:tc>
        <w:tc>
          <w:tcPr>
            <w:tcW w:type="dxa" w:w="7800"/>
            <w:tcBorders>
              <w:top w:val="single" w:color="DDDDDD" w:sz="1"/>
              <w:left w:val="single" w:color="DDDDDD" w:sz="1"/>
              <w:bottom w:val="single" w:color="DDDDDD" w:sz="1"/>
              <w:right w:val="single" w:color="DDDDDD" w:sz="1"/>
            </w:tcBorders>
            <w:shd w:fill="F7FBF7"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Perspio connects underground equipment telemetry to the surface maintenance programme — one service schedule, one CMMS, one view regardless of where the asset operates.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Integration level</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b/>
                <w:bCs/>
                <w:color w:val="27500A"/>
                <w:sz w:val="20"/>
                <w:szCs w:val="20"/>
              </w:rPr>
              <w:t xml:space="preserve">L2 – Suggestion</w:t>
            </w:r>
            <w:r>
              <w:rPr>
                <w:rFonts w:ascii="Arial" w:cs="Arial" w:eastAsia="Arial" w:hAnsi="Arial"/>
                <w:sz w:val="20"/>
                <w:szCs w:val="20"/>
              </w:rPr>
              <w:t xml:space="preserve">          </w:t>
            </w:r>
            <w:r>
              <w:rPr>
                <w:rFonts w:ascii="Arial" w:cs="Arial" w:eastAsia="Arial" w:hAnsi="Arial"/>
                <w:b/>
                <w:bCs/>
                <w:color w:val="27500A"/>
                <w:sz w:val="20"/>
                <w:szCs w:val="20"/>
              </w:rPr>
              <w:t xml:space="preserve">Active</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Industry applicability</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Mining operations running equipment in both surface and underground environments.</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Customer evidence</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To be populated</w:t>
            </w:r>
          </w:p>
        </w:tc>
      </w:tr>
      <w:tr>
        <w:tc>
          <w:tcPr>
            <w:tcW w:type="dxa" w:w="1560"/>
            <w:tcBorders>
              <w:top w:val="single" w:color="DDDDDD" w:sz="1"/>
              <w:left w:val="single" w:color="DDDDDD" w:sz="1"/>
              <w:bottom w:val="single" w:color="DDDDDD" w:sz="1"/>
              <w:right w:val="single" w:color="DDDDDD" w:sz="1"/>
            </w:tcBorders>
            <w:shd w:fill="F0F4F8" w:val="clear"/>
            <w:tcMar>
              <w:top w:type="dxa" w:w="80"/>
              <w:left w:type="dxa" w:w="120"/>
              <w:bottom w:type="dxa" w:w="80"/>
              <w:right w:type="dxa" w:w="100"/>
            </w:tcMar>
          </w:tcPr>
          <w:p>
            <w:pPr>
              <w:spacing w:after="0" w:before="0"/>
            </w:pPr>
            <w:r>
              <w:rPr>
                <w:rFonts w:ascii="Arial" w:cs="Arial" w:eastAsia="Arial" w:hAnsi="Arial"/>
                <w:b/>
                <w:bCs/>
                <w:color w:val="022241"/>
                <w:sz w:val="18"/>
                <w:szCs w:val="18"/>
              </w:rPr>
              <w:t xml:space="preserve">Related use cases</w:t>
            </w:r>
          </w:p>
        </w:tc>
        <w:tc>
          <w:tcPr>
            <w:tcW w:type="dxa" w:w="7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0" w:before="0"/>
            </w:pPr>
            <w:r>
              <w:rPr>
                <w:rFonts w:ascii="Arial" w:cs="Arial" w:eastAsia="Arial" w:hAnsi="Arial"/>
                <w:color w:val="30302E"/>
                <w:sz w:val="20"/>
                <w:szCs w:val="20"/>
              </w:rPr>
              <w:t xml:space="preserve">MNT-01, MNT-05</w:t>
            </w:r>
          </w:p>
        </w:tc>
      </w:tr>
    </w:tbl>
    <w:p>
      <w:pPr>
        <w:spacing w:after="0" w:before="240"/>
      </w:pPr>
    </w:p>
    <w:sectPr>
      <w:headerReference w:type="default" r:id="rId7"/>
      <w:footerReference w:type="default" r:id="rId8"/>
      <w:pgSz w:w="12240" w:h="15840" w:orient="portrait"/>
      <w:pgMar w:top="1080" w:right="1080" w:bottom="1080" w:left="1080" w:header="708"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FF5" w:sz="4" w:space="6"/>
      </w:pBdr>
      <w:spacing w:after="0" w:before="0"/>
      <w:jc w:val="left"/>
      <w:tabs>
        <w:tab w:val="center" w:pos="4680"/>
        <w:tab w:val="right" w:pos="9360"/>
      </w:tabs>
    </w:pPr>
    <w:r>
      <w:rPr>
        <w:sz w:val="16"/>
        <w:szCs w:val="16"/>
        <w:b/>
        <w:color w:val="022241"/>
      </w:rPr>
      <w:t>Inauro</w:t>
    </w:r>
    <w:r>
      <w:rPr>
        <w:sz w:val="16"/>
        <w:szCs w:val="16"/>
        <w:color w:val="999999"/>
      </w:rPr>
      <w:t xml:space="preserve">  ·  Partner Programme  ·  Confidential</w:t>
    </w:r>
    <w:r>
      <w:rPr>
        <w:sz w:val="16"/>
        <w:szCs w:val="16"/>
      </w:rPr>
      <w:tab/>
    </w:r>
    <w:r>
      <w:rPr>
        <w:sz w:val="16"/>
        <w:szCs w:val="16"/>
        <w:color w:val="999999"/>
      </w:rPr>
      <w:t>Mining &amp; Resources Use Case Library</w:t>
    </w:r>
    <w:r>
      <w:rPr>
        <w:sz w:val="16"/>
        <w:szCs w:val="16"/>
      </w:rPr>
      <w:tab/>
    </w:r>
    <w:r>
      <w:rPr>
        <w:sz w:val="16"/>
        <w:szCs w:val="16"/>
        <w:color w:val="999999"/>
      </w:rPr>
      <w:t xml:space="preserve">Page </w:t>
    </w:r>
    <w:r>
      <w:rPr>
        <w:sz w:val="16"/>
        <w:szCs w:val="16"/>
        <w:color w:val="999999"/>
      </w:rPr>
      <w:fldChar w:fldCharType="begin"/>
    </w:r>
    <w:r>
      <w:rPr>
        <w:sz w:val="16"/>
        <w:szCs w:val="16"/>
        <w:color w:val="999999"/>
      </w:rPr>
      <w:instrText> PAGE </w:instrText>
    </w:r>
    <w:r>
      <w:rPr>
        <w:sz w:val="16"/>
        <w:szCs w:val="16"/>
        <w:color w:val="99999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noProof/>
      </w:rPr>
      <w:pict>
        <v:shape id="PowerPlusWaterMarkObject" o:spid="_x0000_s2051" type="#_x0000_t136" style="position:absolute;margin-left:0;margin-top:0;width:527.85pt;height:131.95pt;z-index:-251654144;mso-position-horizontal:center;mso-position-horizontal-relative:margin;mso-position-vertical:center;mso-position-vertical-relative:margin" fillcolor="#CCCCCC" stroked="f">
          <v:fill on="t" focussize="0,0"/>
          <v:textpath style="font-family:Arial;font-size:1pt;font-weight:bold" string="CONFIDENTIAL" trim="t" o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0098FF" w:sz="6" w:space="4"/>
      </w:pBdr>
      <w:spacing w:after="200" w:before="400"/>
      <w:outlineLvl w:val="0"/>
    </w:pPr>
    <w:rPr>
      <w:rFonts w:ascii="Arial" w:cs="Arial" w:eastAsia="Arial" w:hAnsi="Arial"/>
      <w:b/>
      <w:bCs/>
      <w:color w:val="022241"/>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022241"/>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1F9F545131246814F2F4A04D59789" ma:contentTypeVersion="20" ma:contentTypeDescription="Create a new document." ma:contentTypeScope="" ma:versionID="e41d53592cee18d6fec9b6f20b720f10">
  <xsd:schema xmlns:xsd="http://www.w3.org/2001/XMLSchema" xmlns:xs="http://www.w3.org/2001/XMLSchema" xmlns:p="http://schemas.microsoft.com/office/2006/metadata/properties" xmlns:ns2="66ad07ab-9dc2-477b-ab38-49acf5b6606e" xmlns:ns3="47218da7-933b-400b-960e-db670d137b30" targetNamespace="http://schemas.microsoft.com/office/2006/metadata/properties" ma:root="true" ma:fieldsID="928b3a2a1a25581d9c3edaa1e039caba" ns2:_="" ns3:_="">
    <xsd:import namespace="66ad07ab-9dc2-477b-ab38-49acf5b6606e"/>
    <xsd:import namespace="47218da7-933b-400b-960e-db670d137b3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d07ab-9dc2-477b-ab38-49acf5b66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0abd95-6d3f-43b2-91a7-31acf1ef5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18da7-933b-400b-960e-db670d137b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6c7a2-b39e-403a-b813-b38377b68b1f}" ma:internalName="TaxCatchAll" ma:showField="CatchAllData" ma:web="47218da7-933b-400b-960e-db670d137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d07ab-9dc2-477b-ab38-49acf5b6606e">
      <Terms xmlns="http://schemas.microsoft.com/office/infopath/2007/PartnerControls"/>
    </lcf76f155ced4ddcb4097134ff3c332f>
    <TaxCatchAll xmlns="47218da7-933b-400b-960e-db670d137b30" xsi:nil="true"/>
  </documentManagement>
</p:properties>
</file>

<file path=customXml/itemProps1.xml><?xml version="1.0" encoding="utf-8"?>
<ds:datastoreItem xmlns:ds="http://schemas.openxmlformats.org/officeDocument/2006/customXml" ds:itemID="{C0FA89BE-7600-448C-81B9-F6E996238407}"/>
</file>

<file path=customXml/itemProps2.xml><?xml version="1.0" encoding="utf-8"?>
<ds:datastoreItem xmlns:ds="http://schemas.openxmlformats.org/officeDocument/2006/customXml" ds:itemID="{3E312A7E-14EF-41DC-A9B9-6D8253F0E12E}"/>
</file>

<file path=customXml/itemProps3.xml><?xml version="1.0" encoding="utf-8"?>
<ds:datastoreItem xmlns:ds="http://schemas.openxmlformats.org/officeDocument/2006/customXml" ds:itemID="{E8DC3C24-227B-423F-851F-57A881423A9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2026-06-12T06:36:45Z</dcterms:created>
  <dcterms:modified xsi:type="dcterms:W3CDTF">2026-06-12T06:36:45Z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0x010100D131F9F545131246814F2F4A04D59789</vt:lpwstr>
  </property>
</Properties>
</file>